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CAC5A" w14:textId="77777777" w:rsidR="006F0C02" w:rsidRPr="006F0C02" w:rsidRDefault="006F0C02" w:rsidP="006F0C0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F0C02">
        <w:rPr>
          <w:rFonts w:ascii="Times New Roman" w:eastAsia="Times New Roman" w:hAnsi="Times New Roman" w:cs="Times New Roman"/>
          <w:b/>
          <w:bCs/>
          <w:kern w:val="36"/>
          <w:sz w:val="48"/>
          <w:szCs w:val="48"/>
          <w14:ligatures w14:val="none"/>
        </w:rPr>
        <w:t>The Question of Aid Blockages by the Occupation of Gaza</w:t>
      </w:r>
    </w:p>
    <w:p w14:paraId="0CDCD9F5" w14:textId="77777777"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6F0C02">
        <w:rPr>
          <w:rFonts w:ascii="Times New Roman" w:eastAsia="Times New Roman" w:hAnsi="Times New Roman" w:cs="Times New Roman"/>
          <w:kern w:val="0"/>
          <w:sz w:val="36"/>
          <w:szCs w:val="36"/>
          <w14:ligatures w14:val="none"/>
        </w:rPr>
        <w:t>1. Context and Background</w:t>
      </w:r>
    </w:p>
    <w:p w14:paraId="0FA236A4"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Gaza is a densely populated territory that has been under blockade by Israel, with varying degrees of control by land, sea, and air, for many years. The blockade intensified following political developments in Gaza and recurring armed conflicts. Israel maintains that the blockade is a security measure aimed at preventing weapons smuggling and attacks. However, the blockade has had extensive humanitarian consequences, severely restricting the movement of people and the flow of essential goods.</w:t>
      </w:r>
    </w:p>
    <w:p w14:paraId="5D16F29D"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The population of Gaza relies heavily on humanitarian aid due to high unemployment, widespread poverty, damaged infrastructure, and limited access to basic resources such as clean water, electricity, food, and medical supplies.</w:t>
      </w:r>
    </w:p>
    <w:p w14:paraId="54666459" w14:textId="6A0240AB" w:rsidR="006F0C02" w:rsidRPr="006F0C02" w:rsidRDefault="006F0C02" w:rsidP="006F0C02">
      <w:pPr>
        <w:spacing w:after="0" w:line="240" w:lineRule="auto"/>
        <w:rPr>
          <w:rFonts w:ascii="Times New Roman" w:eastAsia="Times New Roman" w:hAnsi="Times New Roman" w:cs="Times New Roman"/>
          <w:kern w:val="0"/>
          <w14:ligatures w14:val="none"/>
        </w:rPr>
      </w:pPr>
    </w:p>
    <w:p w14:paraId="77249913" w14:textId="77777777"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6F0C02">
        <w:rPr>
          <w:rFonts w:ascii="Times New Roman" w:eastAsia="Times New Roman" w:hAnsi="Times New Roman" w:cs="Times New Roman"/>
          <w:kern w:val="0"/>
          <w:sz w:val="36"/>
          <w:szCs w:val="36"/>
          <w14:ligatures w14:val="none"/>
        </w:rPr>
        <w:t>2. What Are Aid Blockages?</w:t>
      </w:r>
    </w:p>
    <w:p w14:paraId="52115993"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Aid blockages refer to restrictions, delays, or complete prevention of humanitarian assistance from entering Gaza. These include:</w:t>
      </w:r>
    </w:p>
    <w:p w14:paraId="7EA636FD" w14:textId="77777777" w:rsidR="006F0C02" w:rsidRPr="006F0C02" w:rsidRDefault="006F0C02" w:rsidP="006F0C0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Limiting the number of aid trucks allowed to enter</w:t>
      </w:r>
    </w:p>
    <w:p w14:paraId="499878E7" w14:textId="77777777" w:rsidR="006F0C02" w:rsidRPr="006F0C02" w:rsidRDefault="006F0C02" w:rsidP="006F0C0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Lengthy inspection processes at border crossings</w:t>
      </w:r>
    </w:p>
    <w:p w14:paraId="79630C75" w14:textId="77777777" w:rsidR="006F0C02" w:rsidRPr="006F0C02" w:rsidRDefault="006F0C02" w:rsidP="006F0C0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Denial of entry for certain goods labeled as "dual-use" (items that could allegedly have civilian and military purposes)</w:t>
      </w:r>
    </w:p>
    <w:p w14:paraId="67E1DCD6" w14:textId="77777777" w:rsidR="006F0C02" w:rsidRPr="006F0C02" w:rsidRDefault="006F0C02" w:rsidP="006F0C02">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Closure of crossings during military escalations</w:t>
      </w:r>
    </w:p>
    <w:p w14:paraId="5EE1F301"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Humanitarian aid affected includes food, medical equipment, fuel, construction materials, and shelter supplies.</w:t>
      </w:r>
    </w:p>
    <w:p w14:paraId="1D345178" w14:textId="2E683EFD" w:rsidR="006F0C02" w:rsidRDefault="006F0C02" w:rsidP="006F0C02">
      <w:pPr>
        <w:spacing w:after="0" w:line="240" w:lineRule="auto"/>
        <w:rPr>
          <w:rFonts w:ascii="Times New Roman" w:eastAsia="Times New Roman" w:hAnsi="Times New Roman" w:cs="Times New Roman"/>
          <w:kern w:val="0"/>
          <w14:ligatures w14:val="none"/>
        </w:rPr>
      </w:pPr>
    </w:p>
    <w:p w14:paraId="5B3747D3" w14:textId="77777777" w:rsidR="006F0C02" w:rsidRDefault="006F0C02" w:rsidP="006F0C02">
      <w:pPr>
        <w:spacing w:after="0" w:line="240" w:lineRule="auto"/>
        <w:rPr>
          <w:rFonts w:ascii="Times New Roman" w:eastAsia="Times New Roman" w:hAnsi="Times New Roman" w:cs="Times New Roman"/>
          <w:kern w:val="0"/>
          <w14:ligatures w14:val="none"/>
        </w:rPr>
      </w:pPr>
    </w:p>
    <w:p w14:paraId="7A4811AF" w14:textId="77777777" w:rsidR="006F0C02" w:rsidRDefault="006F0C02" w:rsidP="006F0C02">
      <w:pPr>
        <w:spacing w:after="0" w:line="240" w:lineRule="auto"/>
        <w:rPr>
          <w:rFonts w:ascii="Times New Roman" w:eastAsia="Times New Roman" w:hAnsi="Times New Roman" w:cs="Times New Roman"/>
          <w:kern w:val="0"/>
          <w14:ligatures w14:val="none"/>
        </w:rPr>
      </w:pPr>
    </w:p>
    <w:p w14:paraId="310871C8" w14:textId="77777777" w:rsidR="006F0C02" w:rsidRDefault="006F0C02" w:rsidP="006F0C02">
      <w:pPr>
        <w:spacing w:after="0" w:line="240" w:lineRule="auto"/>
        <w:rPr>
          <w:rFonts w:ascii="Times New Roman" w:eastAsia="Times New Roman" w:hAnsi="Times New Roman" w:cs="Times New Roman"/>
          <w:kern w:val="0"/>
          <w14:ligatures w14:val="none"/>
        </w:rPr>
      </w:pPr>
    </w:p>
    <w:p w14:paraId="5EA5BFC8" w14:textId="77777777" w:rsidR="006F0C02" w:rsidRDefault="006F0C02" w:rsidP="006F0C02">
      <w:pPr>
        <w:spacing w:after="0" w:line="240" w:lineRule="auto"/>
        <w:rPr>
          <w:rFonts w:ascii="Times New Roman" w:eastAsia="Times New Roman" w:hAnsi="Times New Roman" w:cs="Times New Roman"/>
          <w:kern w:val="0"/>
          <w14:ligatures w14:val="none"/>
        </w:rPr>
      </w:pPr>
    </w:p>
    <w:p w14:paraId="06A39C6C" w14:textId="77777777" w:rsidR="006F0C02" w:rsidRDefault="006F0C02" w:rsidP="006F0C02">
      <w:pPr>
        <w:spacing w:after="0" w:line="240" w:lineRule="auto"/>
        <w:rPr>
          <w:rFonts w:ascii="Times New Roman" w:eastAsia="Times New Roman" w:hAnsi="Times New Roman" w:cs="Times New Roman"/>
          <w:kern w:val="0"/>
          <w14:ligatures w14:val="none"/>
        </w:rPr>
      </w:pPr>
    </w:p>
    <w:p w14:paraId="215B1EBC" w14:textId="77777777" w:rsidR="006F0C02" w:rsidRDefault="006F0C02" w:rsidP="006F0C02">
      <w:pPr>
        <w:spacing w:after="0" w:line="240" w:lineRule="auto"/>
        <w:rPr>
          <w:rFonts w:ascii="Times New Roman" w:eastAsia="Times New Roman" w:hAnsi="Times New Roman" w:cs="Times New Roman"/>
          <w:kern w:val="0"/>
          <w14:ligatures w14:val="none"/>
        </w:rPr>
      </w:pPr>
    </w:p>
    <w:p w14:paraId="62272A97" w14:textId="77777777" w:rsidR="006F0C02" w:rsidRDefault="006F0C02" w:rsidP="006F0C02">
      <w:pPr>
        <w:spacing w:after="0" w:line="240" w:lineRule="auto"/>
        <w:rPr>
          <w:rFonts w:ascii="Times New Roman" w:eastAsia="Times New Roman" w:hAnsi="Times New Roman" w:cs="Times New Roman"/>
          <w:kern w:val="0"/>
          <w14:ligatures w14:val="none"/>
        </w:rPr>
      </w:pPr>
    </w:p>
    <w:p w14:paraId="0FB17EC2" w14:textId="77777777" w:rsidR="006F0C02" w:rsidRDefault="006F0C02" w:rsidP="006F0C02">
      <w:pPr>
        <w:spacing w:after="0" w:line="240" w:lineRule="auto"/>
        <w:rPr>
          <w:rFonts w:ascii="Times New Roman" w:eastAsia="Times New Roman" w:hAnsi="Times New Roman" w:cs="Times New Roman"/>
          <w:kern w:val="0"/>
          <w14:ligatures w14:val="none"/>
        </w:rPr>
      </w:pPr>
    </w:p>
    <w:p w14:paraId="09C48F6A" w14:textId="77777777" w:rsidR="006F0C02" w:rsidRPr="006F0C02" w:rsidRDefault="006F0C02" w:rsidP="006F0C02">
      <w:pPr>
        <w:spacing w:after="0" w:line="240" w:lineRule="auto"/>
        <w:rPr>
          <w:rFonts w:ascii="Times New Roman" w:eastAsia="Times New Roman" w:hAnsi="Times New Roman" w:cs="Times New Roman"/>
          <w:kern w:val="0"/>
          <w14:ligatures w14:val="none"/>
        </w:rPr>
      </w:pPr>
    </w:p>
    <w:p w14:paraId="7B2635D7" w14:textId="77777777"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6F0C02">
        <w:rPr>
          <w:rFonts w:ascii="Times New Roman" w:eastAsia="Times New Roman" w:hAnsi="Times New Roman" w:cs="Times New Roman"/>
          <w:kern w:val="0"/>
          <w:sz w:val="36"/>
          <w:szCs w:val="36"/>
          <w14:ligatures w14:val="none"/>
        </w:rPr>
        <w:lastRenderedPageBreak/>
        <w:t>3. Humanitarian Impact</w:t>
      </w:r>
    </w:p>
    <w:p w14:paraId="03EC83BA"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The blockade and aid restrictions have resulted in a prolonged humanitarian crisis:</w:t>
      </w:r>
    </w:p>
    <w:p w14:paraId="23862B66" w14:textId="77777777" w:rsidR="006F0C02" w:rsidRPr="006F0C02" w:rsidRDefault="006F0C02" w:rsidP="006F0C0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Food insecurity</w:t>
      </w:r>
      <w:r w:rsidRPr="006F0C02">
        <w:rPr>
          <w:rFonts w:ascii="Times New Roman" w:eastAsia="Times New Roman" w:hAnsi="Times New Roman" w:cs="Times New Roman"/>
          <w:kern w:val="0"/>
          <w14:ligatures w14:val="none"/>
        </w:rPr>
        <w:t>: A significant portion of Gaza’s population depends on food assistance to meet daily needs.</w:t>
      </w:r>
    </w:p>
    <w:p w14:paraId="6D3B9DB3" w14:textId="77777777" w:rsidR="006F0C02" w:rsidRPr="006F0C02" w:rsidRDefault="006F0C02" w:rsidP="006F0C0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Healthcare collapse</w:t>
      </w:r>
      <w:r w:rsidRPr="006F0C02">
        <w:rPr>
          <w:rFonts w:ascii="Times New Roman" w:eastAsia="Times New Roman" w:hAnsi="Times New Roman" w:cs="Times New Roman"/>
          <w:kern w:val="0"/>
          <w14:ligatures w14:val="none"/>
        </w:rPr>
        <w:t>: Hospitals face shortages of medicines, fuel for generators, and medical equipment, limiting their ability to treat patients.</w:t>
      </w:r>
    </w:p>
    <w:p w14:paraId="231DDE54" w14:textId="77777777" w:rsidR="006F0C02" w:rsidRPr="006F0C02" w:rsidRDefault="006F0C02" w:rsidP="006F0C0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Water and sanitation crisis</w:t>
      </w:r>
      <w:r w:rsidRPr="006F0C02">
        <w:rPr>
          <w:rFonts w:ascii="Times New Roman" w:eastAsia="Times New Roman" w:hAnsi="Times New Roman" w:cs="Times New Roman"/>
          <w:kern w:val="0"/>
          <w14:ligatures w14:val="none"/>
        </w:rPr>
        <w:t>: Most water in Gaza is unsafe for human consumption due to damaged infrastructure and lack of repair materials.</w:t>
      </w:r>
    </w:p>
    <w:p w14:paraId="4BE7118F" w14:textId="77777777" w:rsidR="006F0C02" w:rsidRPr="006F0C02" w:rsidRDefault="006F0C02" w:rsidP="006F0C0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Electricity shortages</w:t>
      </w:r>
      <w:r w:rsidRPr="006F0C02">
        <w:rPr>
          <w:rFonts w:ascii="Times New Roman" w:eastAsia="Times New Roman" w:hAnsi="Times New Roman" w:cs="Times New Roman"/>
          <w:kern w:val="0"/>
          <w14:ligatures w14:val="none"/>
        </w:rPr>
        <w:t>: Power cuts last many hours per day, affecting hospitals, water treatment plants, and daily life.</w:t>
      </w:r>
    </w:p>
    <w:p w14:paraId="7A997B01" w14:textId="77777777" w:rsidR="006F0C02" w:rsidRPr="006F0C02" w:rsidRDefault="006F0C02" w:rsidP="006F0C02">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Civilian suffering</w:t>
      </w:r>
      <w:r w:rsidRPr="006F0C02">
        <w:rPr>
          <w:rFonts w:ascii="Times New Roman" w:eastAsia="Times New Roman" w:hAnsi="Times New Roman" w:cs="Times New Roman"/>
          <w:kern w:val="0"/>
          <w14:ligatures w14:val="none"/>
        </w:rPr>
        <w:t>: Children, the elderly, and persons with disabilities are disproportionately affected.</w:t>
      </w:r>
    </w:p>
    <w:p w14:paraId="6D10D051" w14:textId="40FBB364" w:rsidR="006F0C02" w:rsidRPr="006F0C02" w:rsidRDefault="006F0C02" w:rsidP="006F0C02">
      <w:pPr>
        <w:spacing w:after="0" w:line="240" w:lineRule="auto"/>
        <w:rPr>
          <w:rFonts w:ascii="Times New Roman" w:eastAsia="Times New Roman" w:hAnsi="Times New Roman" w:cs="Times New Roman"/>
          <w:kern w:val="0"/>
          <w14:ligatures w14:val="none"/>
        </w:rPr>
      </w:pPr>
    </w:p>
    <w:p w14:paraId="3914B67A" w14:textId="77777777"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6F0C02">
        <w:rPr>
          <w:rFonts w:ascii="Times New Roman" w:eastAsia="Times New Roman" w:hAnsi="Times New Roman" w:cs="Times New Roman"/>
          <w:kern w:val="0"/>
          <w:sz w:val="36"/>
          <w:szCs w:val="36"/>
          <w14:ligatures w14:val="none"/>
        </w:rPr>
        <w:t>4. Legal Framework (International Law)</w:t>
      </w:r>
    </w:p>
    <w:p w14:paraId="6AA93452" w14:textId="77777777" w:rsidR="006F0C02" w:rsidRPr="006F0C02" w:rsidRDefault="006F0C02" w:rsidP="006F0C02">
      <w:pPr>
        <w:spacing w:before="100" w:beforeAutospacing="1" w:after="100" w:afterAutospacing="1" w:line="240" w:lineRule="auto"/>
        <w:outlineLvl w:val="2"/>
        <w:rPr>
          <w:rFonts w:ascii="Times New Roman" w:eastAsia="Times New Roman" w:hAnsi="Times New Roman" w:cs="Times New Roman"/>
          <w:kern w:val="0"/>
          <w:sz w:val="27"/>
          <w:szCs w:val="27"/>
          <w14:ligatures w14:val="none"/>
        </w:rPr>
      </w:pPr>
      <w:r w:rsidRPr="006F0C02">
        <w:rPr>
          <w:rFonts w:ascii="Times New Roman" w:eastAsia="Times New Roman" w:hAnsi="Times New Roman" w:cs="Times New Roman"/>
          <w:kern w:val="0"/>
          <w:sz w:val="27"/>
          <w:szCs w:val="27"/>
          <w14:ligatures w14:val="none"/>
        </w:rPr>
        <w:t>International Humanitarian Law (IHL)</w:t>
      </w:r>
    </w:p>
    <w:p w14:paraId="78490AFF"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Under the Fourth Geneva Convention, an occupying power has obligations toward the civilian population, including:</w:t>
      </w:r>
    </w:p>
    <w:p w14:paraId="2537D758" w14:textId="77777777" w:rsidR="006F0C02" w:rsidRPr="006F0C02" w:rsidRDefault="006F0C02" w:rsidP="006F0C0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Ensuring access to food and medical supplies</w:t>
      </w:r>
    </w:p>
    <w:p w14:paraId="6A4D0470" w14:textId="77777777" w:rsidR="006F0C02" w:rsidRPr="006F0C02" w:rsidRDefault="006F0C02" w:rsidP="006F0C0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Allowing and facilitating rapid and unimpeded passage of humanitarian relief</w:t>
      </w:r>
    </w:p>
    <w:p w14:paraId="27B022BE" w14:textId="77777777" w:rsidR="006F0C02" w:rsidRPr="006F0C02" w:rsidRDefault="006F0C02" w:rsidP="006F0C02">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Prohibiting collective punishment</w:t>
      </w:r>
    </w:p>
    <w:p w14:paraId="2B3195A3"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Many legal scholars and international organizations argue that systematic aid blockages constitute a violation of IHL when they result in widespread civilian harm.</w:t>
      </w:r>
    </w:p>
    <w:p w14:paraId="2846540D" w14:textId="77777777" w:rsidR="006F0C02" w:rsidRPr="006F0C02" w:rsidRDefault="006F0C02" w:rsidP="006F0C0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F0C02">
        <w:rPr>
          <w:rFonts w:ascii="Times New Roman" w:eastAsia="Times New Roman" w:hAnsi="Times New Roman" w:cs="Times New Roman"/>
          <w:b/>
          <w:bCs/>
          <w:kern w:val="0"/>
          <w:sz w:val="27"/>
          <w:szCs w:val="27"/>
          <w14:ligatures w14:val="none"/>
        </w:rPr>
        <w:t>Human Rights Law</w:t>
      </w:r>
    </w:p>
    <w:p w14:paraId="2D13354A"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International human rights law protects:</w:t>
      </w:r>
    </w:p>
    <w:p w14:paraId="54F0250F" w14:textId="77777777" w:rsidR="006F0C02" w:rsidRPr="006F0C02" w:rsidRDefault="006F0C02" w:rsidP="006F0C0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The right to life</w:t>
      </w:r>
    </w:p>
    <w:p w14:paraId="1BCA8DBD" w14:textId="77777777" w:rsidR="006F0C02" w:rsidRPr="006F0C02" w:rsidRDefault="006F0C02" w:rsidP="006F0C0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The right to health</w:t>
      </w:r>
    </w:p>
    <w:p w14:paraId="44AC449B" w14:textId="77777777" w:rsidR="006F0C02" w:rsidRPr="006F0C02" w:rsidRDefault="006F0C02" w:rsidP="006F0C02">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The right to an adequate standard of living</w:t>
      </w:r>
    </w:p>
    <w:p w14:paraId="1FD0C9F3" w14:textId="77777777" w:rsid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Restrictions that prevent civilians from accessing essential aid may breach these protections.</w:t>
      </w:r>
    </w:p>
    <w:p w14:paraId="331D223D"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p>
    <w:p w14:paraId="27E02860" w14:textId="5E06CE7E" w:rsidR="006F0C02" w:rsidRPr="006F0C02" w:rsidRDefault="006F0C02" w:rsidP="006F0C02">
      <w:pPr>
        <w:spacing w:after="0" w:line="240" w:lineRule="auto"/>
        <w:rPr>
          <w:rFonts w:ascii="Times New Roman" w:eastAsia="Times New Roman" w:hAnsi="Times New Roman" w:cs="Times New Roman"/>
          <w:kern w:val="0"/>
          <w14:ligatures w14:val="none"/>
        </w:rPr>
      </w:pPr>
    </w:p>
    <w:p w14:paraId="5D79AE16" w14:textId="65F209AE"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6F0C02">
        <w:rPr>
          <w:rFonts w:ascii="Times New Roman" w:eastAsia="Times New Roman" w:hAnsi="Times New Roman" w:cs="Times New Roman"/>
          <w:kern w:val="0"/>
          <w:sz w:val="36"/>
          <w:szCs w:val="36"/>
          <w14:ligatures w14:val="none"/>
        </w:rPr>
        <w:lastRenderedPageBreak/>
        <w:t>5. Justifications Presented by Israel</w:t>
      </w:r>
    </w:p>
    <w:p w14:paraId="20185936"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Israel argues that:</w:t>
      </w:r>
    </w:p>
    <w:p w14:paraId="61233093" w14:textId="77777777" w:rsidR="006F0C02" w:rsidRPr="006F0C02" w:rsidRDefault="006F0C02" w:rsidP="006F0C0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Aid restrictions are necessary to prevent weapons smuggling</w:t>
      </w:r>
    </w:p>
    <w:p w14:paraId="1E0B6DF1" w14:textId="77777777" w:rsidR="006F0C02" w:rsidRPr="006F0C02" w:rsidRDefault="006F0C02" w:rsidP="006F0C0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Certain materials could be diverted for military use</w:t>
      </w:r>
    </w:p>
    <w:p w14:paraId="378577AA" w14:textId="77777777" w:rsidR="006F0C02" w:rsidRPr="006F0C02" w:rsidRDefault="006F0C02" w:rsidP="006F0C0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Inspections are required for national security</w:t>
      </w:r>
    </w:p>
    <w:p w14:paraId="164C88AE"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While security concerns are recognized under international law, they must be proportionate and must not result in excessive harm to civilians.</w:t>
      </w:r>
    </w:p>
    <w:p w14:paraId="11243F79" w14:textId="456C86A3" w:rsidR="006F0C02" w:rsidRPr="006F0C02" w:rsidRDefault="006F0C02" w:rsidP="006F0C02">
      <w:pPr>
        <w:spacing w:after="0" w:line="240" w:lineRule="auto"/>
        <w:rPr>
          <w:rFonts w:ascii="Times New Roman" w:eastAsia="Times New Roman" w:hAnsi="Times New Roman" w:cs="Times New Roman"/>
          <w:kern w:val="0"/>
          <w14:ligatures w14:val="none"/>
        </w:rPr>
      </w:pPr>
    </w:p>
    <w:p w14:paraId="36A3CAA4" w14:textId="77777777"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6F0C02">
        <w:rPr>
          <w:rFonts w:ascii="Times New Roman" w:eastAsia="Times New Roman" w:hAnsi="Times New Roman" w:cs="Times New Roman"/>
          <w:kern w:val="0"/>
          <w:sz w:val="36"/>
          <w:szCs w:val="36"/>
          <w14:ligatures w14:val="none"/>
        </w:rPr>
        <w:t>6. Criticism by the International Community</w:t>
      </w:r>
    </w:p>
    <w:p w14:paraId="44A1CC92" w14:textId="77777777" w:rsidR="006F0C02" w:rsidRPr="006F0C02" w:rsidRDefault="006F0C02" w:rsidP="006F0C0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United Nations agencies, humanitarian organizations, and human rights groups have repeatedly called for the lifting or easing of aid restrictions.</w:t>
      </w:r>
    </w:p>
    <w:p w14:paraId="0E31D276" w14:textId="77777777" w:rsidR="006F0C02" w:rsidRPr="006F0C02" w:rsidRDefault="006F0C02" w:rsidP="006F0C0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Critics argue that the blockade amounts to collective punishment of Gaza’s civilian population.</w:t>
      </w:r>
    </w:p>
    <w:p w14:paraId="2863AF0B" w14:textId="77777777" w:rsidR="006F0C02" w:rsidRPr="006F0C02" w:rsidRDefault="006F0C02" w:rsidP="006F0C0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Deliberate obstruction of humanitarian aid during conflicts has been described as unlawful and morally indefensible.</w:t>
      </w:r>
    </w:p>
    <w:p w14:paraId="133EF8FD" w14:textId="42597F20" w:rsidR="006F0C02" w:rsidRPr="006F0C02" w:rsidRDefault="006F0C02" w:rsidP="006F0C02">
      <w:pPr>
        <w:spacing w:after="0" w:line="240" w:lineRule="auto"/>
        <w:rPr>
          <w:rFonts w:ascii="Times New Roman" w:eastAsia="Times New Roman" w:hAnsi="Times New Roman" w:cs="Times New Roman"/>
          <w:kern w:val="0"/>
          <w14:ligatures w14:val="none"/>
        </w:rPr>
      </w:pPr>
    </w:p>
    <w:p w14:paraId="71E2BA07" w14:textId="77777777"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6F0C02">
        <w:rPr>
          <w:rFonts w:ascii="Times New Roman" w:eastAsia="Times New Roman" w:hAnsi="Times New Roman" w:cs="Times New Roman"/>
          <w:kern w:val="0"/>
          <w:sz w:val="36"/>
          <w:szCs w:val="36"/>
          <w14:ligatures w14:val="none"/>
        </w:rPr>
        <w:t>7. GA3 Relevance (UN General Assembly Third Committee)</w:t>
      </w:r>
    </w:p>
    <w:p w14:paraId="2207A09F"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The GA3 focuses on social, humanitarian, and human rights issues. This topic is highly relevant because it involves:</w:t>
      </w:r>
    </w:p>
    <w:p w14:paraId="19A9B3D4" w14:textId="77777777" w:rsidR="006F0C02" w:rsidRPr="006F0C02" w:rsidRDefault="006F0C02" w:rsidP="006F0C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Protection of civilians</w:t>
      </w:r>
    </w:p>
    <w:p w14:paraId="1E648B1C" w14:textId="77777777" w:rsidR="006F0C02" w:rsidRPr="006F0C02" w:rsidRDefault="006F0C02" w:rsidP="006F0C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Humanitarian access during conflict</w:t>
      </w:r>
    </w:p>
    <w:p w14:paraId="12396267" w14:textId="77777777" w:rsidR="006F0C02" w:rsidRPr="006F0C02" w:rsidRDefault="006F0C02" w:rsidP="006F0C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Accountability for human rights violations</w:t>
      </w:r>
    </w:p>
    <w:p w14:paraId="3E80C9DB" w14:textId="77777777" w:rsidR="006F0C02" w:rsidRPr="006F0C02" w:rsidRDefault="006F0C02" w:rsidP="006F0C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The role of international organizations in delivering aid</w:t>
      </w:r>
    </w:p>
    <w:p w14:paraId="6DCCB87D"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Key GA3 discussion points include:</w:t>
      </w:r>
    </w:p>
    <w:p w14:paraId="61CE7CC2" w14:textId="77777777" w:rsidR="006F0C02" w:rsidRPr="006F0C02" w:rsidRDefault="006F0C02" w:rsidP="006F0C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Ensuring unimpeded humanitarian access</w:t>
      </w:r>
    </w:p>
    <w:p w14:paraId="49950727" w14:textId="77777777" w:rsidR="006F0C02" w:rsidRPr="006F0C02" w:rsidRDefault="006F0C02" w:rsidP="006F0C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Strengthening international monitoring mechanisms</w:t>
      </w:r>
    </w:p>
    <w:p w14:paraId="7540337D" w14:textId="77777777" w:rsidR="006F0C02" w:rsidRPr="006F0C02" w:rsidRDefault="006F0C02" w:rsidP="006F0C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Protecting aid workers and convoys</w:t>
      </w:r>
    </w:p>
    <w:p w14:paraId="3B0437D3" w14:textId="77777777" w:rsidR="006F0C02" w:rsidRDefault="006F0C02" w:rsidP="006F0C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Addressing long-term humanitarian dependency</w:t>
      </w:r>
    </w:p>
    <w:p w14:paraId="148FB417" w14:textId="77777777" w:rsidR="006F0C02" w:rsidRPr="006F0C02" w:rsidRDefault="006F0C02" w:rsidP="006F0C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p>
    <w:p w14:paraId="2BDE6568" w14:textId="4430BB24" w:rsidR="006F0C02" w:rsidRPr="006F0C02" w:rsidRDefault="006F0C02" w:rsidP="006F0C02">
      <w:pPr>
        <w:spacing w:after="0" w:line="240" w:lineRule="auto"/>
        <w:rPr>
          <w:rFonts w:ascii="Times New Roman" w:eastAsia="Times New Roman" w:hAnsi="Times New Roman" w:cs="Times New Roman"/>
          <w:kern w:val="0"/>
          <w14:ligatures w14:val="none"/>
        </w:rPr>
      </w:pPr>
    </w:p>
    <w:p w14:paraId="2EE2C6C5" w14:textId="3940E72E"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6F0C02">
        <w:rPr>
          <w:rFonts w:ascii="Times New Roman" w:eastAsia="Times New Roman" w:hAnsi="Times New Roman" w:cs="Times New Roman"/>
          <w:kern w:val="0"/>
          <w:sz w:val="36"/>
          <w:szCs w:val="36"/>
          <w14:ligatures w14:val="none"/>
        </w:rPr>
        <w:lastRenderedPageBreak/>
        <w:t>8. Possible Solutions and Recommendation</w:t>
      </w:r>
    </w:p>
    <w:p w14:paraId="280D7D5C" w14:textId="77777777" w:rsidR="006F0C02" w:rsidRPr="006F0C02" w:rsidRDefault="006F0C02" w:rsidP="006F0C0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Establish internationally monitored humanitarian corridors</w:t>
      </w:r>
    </w:p>
    <w:p w14:paraId="288F06F1" w14:textId="77777777" w:rsidR="006F0C02" w:rsidRPr="006F0C02" w:rsidRDefault="006F0C02" w:rsidP="006F0C0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Increase transparency in inspection procedures</w:t>
      </w:r>
    </w:p>
    <w:p w14:paraId="120A2132" w14:textId="77777777" w:rsidR="006F0C02" w:rsidRPr="006F0C02" w:rsidRDefault="006F0C02" w:rsidP="006F0C0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Limit the scope of "dual-use" restrictions</w:t>
      </w:r>
    </w:p>
    <w:p w14:paraId="29A8463E" w14:textId="77777777" w:rsidR="006F0C02" w:rsidRPr="006F0C02" w:rsidRDefault="006F0C02" w:rsidP="006F0C0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Strengthen UN and NGO access to border crossings</w:t>
      </w:r>
    </w:p>
    <w:p w14:paraId="379B9283" w14:textId="77777777" w:rsidR="006F0C02" w:rsidRPr="006F0C02" w:rsidRDefault="006F0C02" w:rsidP="006F0C02">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Encourage diplomatic pressure to ensure compliance with international law</w:t>
      </w:r>
    </w:p>
    <w:p w14:paraId="66508B32" w14:textId="1656192B" w:rsidR="006F0C02" w:rsidRPr="006F0C02" w:rsidRDefault="006F0C02" w:rsidP="006F0C02">
      <w:pPr>
        <w:spacing w:after="0" w:line="240" w:lineRule="auto"/>
        <w:rPr>
          <w:rFonts w:ascii="Times New Roman" w:eastAsia="Times New Roman" w:hAnsi="Times New Roman" w:cs="Times New Roman"/>
          <w:kern w:val="0"/>
          <w14:ligatures w14:val="none"/>
        </w:rPr>
      </w:pPr>
    </w:p>
    <w:p w14:paraId="3AF8F4AD" w14:textId="77777777"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kern w:val="0"/>
          <w:sz w:val="36"/>
          <w:szCs w:val="36"/>
          <w14:ligatures w14:val="none"/>
        </w:rPr>
      </w:pPr>
      <w:r w:rsidRPr="006F0C02">
        <w:rPr>
          <w:rFonts w:ascii="Times New Roman" w:eastAsia="Times New Roman" w:hAnsi="Times New Roman" w:cs="Times New Roman"/>
          <w:kern w:val="0"/>
          <w:sz w:val="36"/>
          <w:szCs w:val="36"/>
          <w14:ligatures w14:val="none"/>
        </w:rPr>
        <w:t>9. Conclusion</w:t>
      </w:r>
    </w:p>
    <w:p w14:paraId="7BCF5FD2"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While states have the right to protect their security, international law requires that such measures do not disproportionately harm civilians. The continued blockage of humanitarian aid to Gaza has contributed to severe human suffering and raises serious legal and ethical concerns. Addressing this issue is essential to upholding humanitarian principles, protecting human rights, and promoting long-term stability in the region.</w:t>
      </w:r>
    </w:p>
    <w:p w14:paraId="5D9BE65C" w14:textId="3DDFB692" w:rsidR="006F0C02" w:rsidRPr="006F0C02" w:rsidRDefault="006F0C02" w:rsidP="006F0C02">
      <w:pPr>
        <w:spacing w:after="0" w:line="240" w:lineRule="auto"/>
        <w:rPr>
          <w:rFonts w:ascii="Times New Roman" w:eastAsia="Times New Roman" w:hAnsi="Times New Roman" w:cs="Times New Roman"/>
          <w:kern w:val="0"/>
          <w14:ligatures w14:val="none"/>
        </w:rPr>
      </w:pPr>
    </w:p>
    <w:p w14:paraId="40E146FE" w14:textId="77777777" w:rsidR="006F0C02" w:rsidRPr="006F0C02" w:rsidRDefault="006F0C02" w:rsidP="006F0C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F0C02">
        <w:rPr>
          <w:rFonts w:ascii="Times New Roman" w:eastAsia="Times New Roman" w:hAnsi="Times New Roman" w:cs="Times New Roman"/>
          <w:b/>
          <w:bCs/>
          <w:kern w:val="0"/>
          <w:sz w:val="36"/>
          <w:szCs w:val="36"/>
          <w14:ligatures w14:val="none"/>
        </w:rPr>
        <w:t>10. Suggested Sources for Citations (with links)</w:t>
      </w:r>
    </w:p>
    <w:p w14:paraId="1D6D4382" w14:textId="77777777" w:rsidR="006F0C02" w:rsidRPr="006F0C02" w:rsidRDefault="006F0C02" w:rsidP="006F0C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UN Office for the Coordination of Humanitarian Affairs (OCHA)</w:t>
      </w:r>
      <w:r w:rsidRPr="006F0C02">
        <w:rPr>
          <w:rFonts w:ascii="Times New Roman" w:eastAsia="Times New Roman" w:hAnsi="Times New Roman" w:cs="Times New Roman"/>
          <w:kern w:val="0"/>
          <w14:ligatures w14:val="none"/>
        </w:rPr>
        <w:br/>
      </w:r>
      <w:hyperlink r:id="rId5" w:history="1">
        <w:r w:rsidRPr="006F0C02">
          <w:rPr>
            <w:rFonts w:ascii="Times New Roman" w:eastAsia="Times New Roman" w:hAnsi="Times New Roman" w:cs="Times New Roman"/>
            <w:color w:val="0000FF"/>
            <w:kern w:val="0"/>
            <w:u w:val="single"/>
            <w14:ligatures w14:val="none"/>
          </w:rPr>
          <w:t>https://www.ochaopt.org/</w:t>
        </w:r>
      </w:hyperlink>
    </w:p>
    <w:p w14:paraId="03C3A5C7" w14:textId="77777777" w:rsidR="006F0C02" w:rsidRPr="006F0C02" w:rsidRDefault="006F0C02" w:rsidP="006F0C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UN Relief and Works Agency for Palestine Refugees (UNRWA)</w:t>
      </w:r>
      <w:r w:rsidRPr="006F0C02">
        <w:rPr>
          <w:rFonts w:ascii="Times New Roman" w:eastAsia="Times New Roman" w:hAnsi="Times New Roman" w:cs="Times New Roman"/>
          <w:kern w:val="0"/>
          <w14:ligatures w14:val="none"/>
        </w:rPr>
        <w:br/>
      </w:r>
      <w:hyperlink r:id="rId6" w:history="1">
        <w:r w:rsidRPr="006F0C02">
          <w:rPr>
            <w:rFonts w:ascii="Times New Roman" w:eastAsia="Times New Roman" w:hAnsi="Times New Roman" w:cs="Times New Roman"/>
            <w:color w:val="0000FF"/>
            <w:kern w:val="0"/>
            <w:u w:val="single"/>
            <w14:ligatures w14:val="none"/>
          </w:rPr>
          <w:t>https://www.unrwa.org/</w:t>
        </w:r>
      </w:hyperlink>
    </w:p>
    <w:p w14:paraId="03BB64B7" w14:textId="77777777" w:rsidR="006F0C02" w:rsidRPr="006F0C02" w:rsidRDefault="006F0C02" w:rsidP="006F0C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International Committee of the Red Cross (ICRC) – Occupation &amp; Humanitarian Access</w:t>
      </w:r>
      <w:r w:rsidRPr="006F0C02">
        <w:rPr>
          <w:rFonts w:ascii="Times New Roman" w:eastAsia="Times New Roman" w:hAnsi="Times New Roman" w:cs="Times New Roman"/>
          <w:kern w:val="0"/>
          <w14:ligatures w14:val="none"/>
        </w:rPr>
        <w:br/>
      </w:r>
      <w:hyperlink r:id="rId7" w:history="1">
        <w:r w:rsidRPr="006F0C02">
          <w:rPr>
            <w:rFonts w:ascii="Times New Roman" w:eastAsia="Times New Roman" w:hAnsi="Times New Roman" w:cs="Times New Roman"/>
            <w:color w:val="0000FF"/>
            <w:kern w:val="0"/>
            <w:u w:val="single"/>
            <w14:ligatures w14:val="none"/>
          </w:rPr>
          <w:t>https://www.icrc.org/en/war-and-law/protected-persons/occupied-territory</w:t>
        </w:r>
      </w:hyperlink>
    </w:p>
    <w:p w14:paraId="47137468" w14:textId="77777777" w:rsidR="006F0C02" w:rsidRPr="006F0C02" w:rsidRDefault="006F0C02" w:rsidP="006F0C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Amnesty International – Israel/OPT Reports</w:t>
      </w:r>
      <w:r w:rsidRPr="006F0C02">
        <w:rPr>
          <w:rFonts w:ascii="Times New Roman" w:eastAsia="Times New Roman" w:hAnsi="Times New Roman" w:cs="Times New Roman"/>
          <w:kern w:val="0"/>
          <w14:ligatures w14:val="none"/>
        </w:rPr>
        <w:br/>
      </w:r>
      <w:hyperlink r:id="rId8" w:history="1">
        <w:r w:rsidRPr="006F0C02">
          <w:rPr>
            <w:rFonts w:ascii="Times New Roman" w:eastAsia="Times New Roman" w:hAnsi="Times New Roman" w:cs="Times New Roman"/>
            <w:color w:val="0000FF"/>
            <w:kern w:val="0"/>
            <w:u w:val="single"/>
            <w14:ligatures w14:val="none"/>
          </w:rPr>
          <w:t>https://www.amnesty.org/en/location/middle-east-and-north-africa/israel-and-occupied-palestinian-territories/</w:t>
        </w:r>
      </w:hyperlink>
    </w:p>
    <w:p w14:paraId="50658EE6" w14:textId="77777777" w:rsidR="006F0C02" w:rsidRPr="006F0C02" w:rsidRDefault="006F0C02" w:rsidP="006F0C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Human Rights Watch – Gaza &amp; Humanitarian Access</w:t>
      </w:r>
      <w:r w:rsidRPr="006F0C02">
        <w:rPr>
          <w:rFonts w:ascii="Times New Roman" w:eastAsia="Times New Roman" w:hAnsi="Times New Roman" w:cs="Times New Roman"/>
          <w:kern w:val="0"/>
          <w14:ligatures w14:val="none"/>
        </w:rPr>
        <w:br/>
      </w:r>
      <w:hyperlink r:id="rId9" w:history="1">
        <w:r w:rsidRPr="006F0C02">
          <w:rPr>
            <w:rFonts w:ascii="Times New Roman" w:eastAsia="Times New Roman" w:hAnsi="Times New Roman" w:cs="Times New Roman"/>
            <w:color w:val="0000FF"/>
            <w:kern w:val="0"/>
            <w:u w:val="single"/>
            <w14:ligatures w14:val="none"/>
          </w:rPr>
          <w:t>https://www.hrw.org/middle-east/north-africa/israel/palestine</w:t>
        </w:r>
      </w:hyperlink>
    </w:p>
    <w:p w14:paraId="6327F494" w14:textId="77777777" w:rsidR="006F0C02" w:rsidRPr="006F0C02" w:rsidRDefault="006F0C02" w:rsidP="006F0C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UN General Assembly Third Committee (GA3) Documentation</w:t>
      </w:r>
      <w:r w:rsidRPr="006F0C02">
        <w:rPr>
          <w:rFonts w:ascii="Times New Roman" w:eastAsia="Times New Roman" w:hAnsi="Times New Roman" w:cs="Times New Roman"/>
          <w:kern w:val="0"/>
          <w14:ligatures w14:val="none"/>
        </w:rPr>
        <w:br/>
      </w:r>
      <w:hyperlink r:id="rId10" w:history="1">
        <w:r w:rsidRPr="006F0C02">
          <w:rPr>
            <w:rFonts w:ascii="Times New Roman" w:eastAsia="Times New Roman" w:hAnsi="Times New Roman" w:cs="Times New Roman"/>
            <w:color w:val="0000FF"/>
            <w:kern w:val="0"/>
            <w:u w:val="single"/>
            <w14:ligatures w14:val="none"/>
          </w:rPr>
          <w:t>https://www.un.org/en/ga/third/</w:t>
        </w:r>
      </w:hyperlink>
    </w:p>
    <w:p w14:paraId="0EDEC89B" w14:textId="77777777" w:rsidR="006F0C02" w:rsidRPr="006F0C02" w:rsidRDefault="006F0C02" w:rsidP="006F0C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UN Security Council &amp; General Assembly Resolutions Database</w:t>
      </w:r>
      <w:r w:rsidRPr="006F0C02">
        <w:rPr>
          <w:rFonts w:ascii="Times New Roman" w:eastAsia="Times New Roman" w:hAnsi="Times New Roman" w:cs="Times New Roman"/>
          <w:kern w:val="0"/>
          <w14:ligatures w14:val="none"/>
        </w:rPr>
        <w:br/>
      </w:r>
      <w:hyperlink r:id="rId11" w:history="1">
        <w:r w:rsidRPr="006F0C02">
          <w:rPr>
            <w:rFonts w:ascii="Times New Roman" w:eastAsia="Times New Roman" w:hAnsi="Times New Roman" w:cs="Times New Roman"/>
            <w:color w:val="0000FF"/>
            <w:kern w:val="0"/>
            <w:u w:val="single"/>
            <w14:ligatures w14:val="none"/>
          </w:rPr>
          <w:t>https://www.un.org/securitycouncil/content/resolutions</w:t>
        </w:r>
      </w:hyperlink>
    </w:p>
    <w:p w14:paraId="13C298EF" w14:textId="77777777" w:rsidR="006F0C02" w:rsidRPr="006F0C02" w:rsidRDefault="006F0C02" w:rsidP="006F0C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World Health Organization (WHO) – Gaza Health Emergency</w:t>
      </w:r>
      <w:r w:rsidRPr="006F0C02">
        <w:rPr>
          <w:rFonts w:ascii="Times New Roman" w:eastAsia="Times New Roman" w:hAnsi="Times New Roman" w:cs="Times New Roman"/>
          <w:kern w:val="0"/>
          <w14:ligatures w14:val="none"/>
        </w:rPr>
        <w:br/>
      </w:r>
      <w:hyperlink r:id="rId12" w:history="1">
        <w:r w:rsidRPr="006F0C02">
          <w:rPr>
            <w:rFonts w:ascii="Times New Roman" w:eastAsia="Times New Roman" w:hAnsi="Times New Roman" w:cs="Times New Roman"/>
            <w:color w:val="0000FF"/>
            <w:kern w:val="0"/>
            <w:u w:val="single"/>
            <w14:ligatures w14:val="none"/>
          </w:rPr>
          <w:t>https://www.who.int/emergencies/situations/occupied-palestinian-territory</w:t>
        </w:r>
      </w:hyperlink>
    </w:p>
    <w:p w14:paraId="2B71CC43" w14:textId="77777777" w:rsidR="006F0C02" w:rsidRPr="006F0C02" w:rsidRDefault="006F0C02" w:rsidP="006F0C02">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b/>
          <w:bCs/>
          <w:kern w:val="0"/>
          <w14:ligatures w14:val="none"/>
        </w:rPr>
        <w:t>UNICEF – Humanitarian Situation in Gaza</w:t>
      </w:r>
      <w:r w:rsidRPr="006F0C02">
        <w:rPr>
          <w:rFonts w:ascii="Times New Roman" w:eastAsia="Times New Roman" w:hAnsi="Times New Roman" w:cs="Times New Roman"/>
          <w:kern w:val="0"/>
          <w14:ligatures w14:val="none"/>
        </w:rPr>
        <w:br/>
      </w:r>
      <w:hyperlink r:id="rId13" w:history="1">
        <w:r w:rsidRPr="006F0C02">
          <w:rPr>
            <w:rFonts w:ascii="Times New Roman" w:eastAsia="Times New Roman" w:hAnsi="Times New Roman" w:cs="Times New Roman"/>
            <w:color w:val="0000FF"/>
            <w:kern w:val="0"/>
            <w:u w:val="single"/>
            <w14:ligatures w14:val="none"/>
          </w:rPr>
          <w:t>https://www.unicef.org/emergencies/gaza-crisis</w:t>
        </w:r>
      </w:hyperlink>
    </w:p>
    <w:p w14:paraId="47B5EC19" w14:textId="77777777" w:rsidR="006F0C02" w:rsidRPr="006F0C02" w:rsidRDefault="006F0C02" w:rsidP="006F0C02">
      <w:pPr>
        <w:spacing w:before="100" w:beforeAutospacing="1" w:after="100" w:afterAutospacing="1" w:line="240" w:lineRule="auto"/>
        <w:rPr>
          <w:rFonts w:ascii="Times New Roman" w:eastAsia="Times New Roman" w:hAnsi="Times New Roman" w:cs="Times New Roman"/>
          <w:kern w:val="0"/>
          <w14:ligatures w14:val="none"/>
        </w:rPr>
      </w:pPr>
      <w:r w:rsidRPr="006F0C02">
        <w:rPr>
          <w:rFonts w:ascii="Times New Roman" w:eastAsia="Times New Roman" w:hAnsi="Times New Roman" w:cs="Times New Roman"/>
          <w:kern w:val="0"/>
          <w14:ligatures w14:val="none"/>
        </w:rPr>
        <w:t>These sources are widely accepted in MUN, UN documentation, and GA3 debates, and are suitable for citations in position papers, clauses, and speeches.</w:t>
      </w:r>
    </w:p>
    <w:p w14:paraId="40617BE5" w14:textId="77777777" w:rsidR="006F0C02" w:rsidRDefault="006F0C02"/>
    <w:sectPr w:rsidR="006F0C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4CFF"/>
    <w:multiLevelType w:val="multilevel"/>
    <w:tmpl w:val="227A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9212D"/>
    <w:multiLevelType w:val="multilevel"/>
    <w:tmpl w:val="DA5E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D0C21"/>
    <w:multiLevelType w:val="multilevel"/>
    <w:tmpl w:val="1F5C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D52D4"/>
    <w:multiLevelType w:val="multilevel"/>
    <w:tmpl w:val="C494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83B44"/>
    <w:multiLevelType w:val="multilevel"/>
    <w:tmpl w:val="BF7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56DE4"/>
    <w:multiLevelType w:val="multilevel"/>
    <w:tmpl w:val="4BC0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252262"/>
    <w:multiLevelType w:val="multilevel"/>
    <w:tmpl w:val="7A5E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9256C5"/>
    <w:multiLevelType w:val="multilevel"/>
    <w:tmpl w:val="2EFA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3B332C"/>
    <w:multiLevelType w:val="multilevel"/>
    <w:tmpl w:val="DE64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2831B7"/>
    <w:multiLevelType w:val="multilevel"/>
    <w:tmpl w:val="0B04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398963">
    <w:abstractNumId w:val="2"/>
  </w:num>
  <w:num w:numId="2" w16cid:durableId="804856052">
    <w:abstractNumId w:val="0"/>
  </w:num>
  <w:num w:numId="3" w16cid:durableId="461963567">
    <w:abstractNumId w:val="6"/>
  </w:num>
  <w:num w:numId="4" w16cid:durableId="80610780">
    <w:abstractNumId w:val="1"/>
  </w:num>
  <w:num w:numId="5" w16cid:durableId="1412853272">
    <w:abstractNumId w:val="7"/>
  </w:num>
  <w:num w:numId="6" w16cid:durableId="33845194">
    <w:abstractNumId w:val="4"/>
  </w:num>
  <w:num w:numId="7" w16cid:durableId="415783585">
    <w:abstractNumId w:val="9"/>
  </w:num>
  <w:num w:numId="8" w16cid:durableId="269361456">
    <w:abstractNumId w:val="3"/>
  </w:num>
  <w:num w:numId="9" w16cid:durableId="903372208">
    <w:abstractNumId w:val="8"/>
  </w:num>
  <w:num w:numId="10" w16cid:durableId="10752500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C02"/>
    <w:rsid w:val="006F0C02"/>
    <w:rsid w:val="00796155"/>
    <w:rsid w:val="00F633DB"/>
  </w:rsids>
  <m:mathPr>
    <m:mathFont m:val="Cambria Math"/>
    <m:brkBin m:val="before"/>
    <m:brkBinSub m:val="--"/>
    <m:smallFrac m:val="0"/>
    <m:dispDef/>
    <m:lMargin m:val="0"/>
    <m:rMargin m:val="0"/>
    <m:defJc m:val="centerGroup"/>
    <m:wrapIndent m:val="1440"/>
    <m:intLim m:val="subSup"/>
    <m:naryLim m:val="undOvr"/>
  </m:mathPr>
  <w:themeFontLang w:val="en-J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17337"/>
  <w15:chartTrackingRefBased/>
  <w15:docId w15:val="{4C4468A6-4CBB-024C-AFD0-FB3A2B10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J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0C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F0C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F0C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0C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0C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0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0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0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0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C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F0C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F0C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0C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0C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0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C02"/>
    <w:rPr>
      <w:rFonts w:eastAsiaTheme="majorEastAsia" w:cstheme="majorBidi"/>
      <w:color w:val="272727" w:themeColor="text1" w:themeTint="D8"/>
    </w:rPr>
  </w:style>
  <w:style w:type="paragraph" w:styleId="Title">
    <w:name w:val="Title"/>
    <w:basedOn w:val="Normal"/>
    <w:next w:val="Normal"/>
    <w:link w:val="TitleChar"/>
    <w:uiPriority w:val="10"/>
    <w:qFormat/>
    <w:rsid w:val="006F0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0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C02"/>
    <w:pPr>
      <w:spacing w:before="160"/>
      <w:jc w:val="center"/>
    </w:pPr>
    <w:rPr>
      <w:i/>
      <w:iCs/>
      <w:color w:val="404040" w:themeColor="text1" w:themeTint="BF"/>
    </w:rPr>
  </w:style>
  <w:style w:type="character" w:customStyle="1" w:styleId="QuoteChar">
    <w:name w:val="Quote Char"/>
    <w:basedOn w:val="DefaultParagraphFont"/>
    <w:link w:val="Quote"/>
    <w:uiPriority w:val="29"/>
    <w:rsid w:val="006F0C02"/>
    <w:rPr>
      <w:i/>
      <w:iCs/>
      <w:color w:val="404040" w:themeColor="text1" w:themeTint="BF"/>
    </w:rPr>
  </w:style>
  <w:style w:type="paragraph" w:styleId="ListParagraph">
    <w:name w:val="List Paragraph"/>
    <w:basedOn w:val="Normal"/>
    <w:uiPriority w:val="34"/>
    <w:qFormat/>
    <w:rsid w:val="006F0C02"/>
    <w:pPr>
      <w:ind w:left="720"/>
      <w:contextualSpacing/>
    </w:pPr>
  </w:style>
  <w:style w:type="character" w:styleId="IntenseEmphasis">
    <w:name w:val="Intense Emphasis"/>
    <w:basedOn w:val="DefaultParagraphFont"/>
    <w:uiPriority w:val="21"/>
    <w:qFormat/>
    <w:rsid w:val="006F0C02"/>
    <w:rPr>
      <w:i/>
      <w:iCs/>
      <w:color w:val="2F5496" w:themeColor="accent1" w:themeShade="BF"/>
    </w:rPr>
  </w:style>
  <w:style w:type="paragraph" w:styleId="IntenseQuote">
    <w:name w:val="Intense Quote"/>
    <w:basedOn w:val="Normal"/>
    <w:next w:val="Normal"/>
    <w:link w:val="IntenseQuoteChar"/>
    <w:uiPriority w:val="30"/>
    <w:qFormat/>
    <w:rsid w:val="006F0C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0C02"/>
    <w:rPr>
      <w:i/>
      <w:iCs/>
      <w:color w:val="2F5496" w:themeColor="accent1" w:themeShade="BF"/>
    </w:rPr>
  </w:style>
  <w:style w:type="character" w:styleId="IntenseReference">
    <w:name w:val="Intense Reference"/>
    <w:basedOn w:val="DefaultParagraphFont"/>
    <w:uiPriority w:val="32"/>
    <w:qFormat/>
    <w:rsid w:val="006F0C02"/>
    <w:rPr>
      <w:b/>
      <w:bCs/>
      <w:smallCaps/>
      <w:color w:val="2F5496" w:themeColor="accent1" w:themeShade="BF"/>
      <w:spacing w:val="5"/>
    </w:rPr>
  </w:style>
  <w:style w:type="paragraph" w:styleId="NormalWeb">
    <w:name w:val="Normal (Web)"/>
    <w:basedOn w:val="Normal"/>
    <w:uiPriority w:val="99"/>
    <w:semiHidden/>
    <w:unhideWhenUsed/>
    <w:rsid w:val="006F0C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F0C02"/>
    <w:rPr>
      <w:b/>
      <w:bCs/>
    </w:rPr>
  </w:style>
  <w:style w:type="character" w:styleId="Hyperlink">
    <w:name w:val="Hyperlink"/>
    <w:basedOn w:val="DefaultParagraphFont"/>
    <w:uiPriority w:val="99"/>
    <w:semiHidden/>
    <w:unhideWhenUsed/>
    <w:rsid w:val="006F0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nesty.org/en/location/middle-east-and-north-africa/israel-and-occupied-palestinian-territories/" TargetMode="External"/><Relationship Id="rId13" Type="http://schemas.openxmlformats.org/officeDocument/2006/relationships/hyperlink" Target="https://www.unicef.org/emergencies/gaza-crisis" TargetMode="External"/><Relationship Id="rId3" Type="http://schemas.openxmlformats.org/officeDocument/2006/relationships/settings" Target="settings.xml"/><Relationship Id="rId7" Type="http://schemas.openxmlformats.org/officeDocument/2006/relationships/hyperlink" Target="https://www.icrc.org/en/war-and-law/protected-persons/occupied-territory" TargetMode="External"/><Relationship Id="rId12" Type="http://schemas.openxmlformats.org/officeDocument/2006/relationships/hyperlink" Target="https://www.who.int/emergencies/situations/occupied-palestinian-terri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rwa.org/" TargetMode="External"/><Relationship Id="rId11" Type="http://schemas.openxmlformats.org/officeDocument/2006/relationships/hyperlink" Target="https://www.un.org/securitycouncil/content/resolutions" TargetMode="External"/><Relationship Id="rId5" Type="http://schemas.openxmlformats.org/officeDocument/2006/relationships/hyperlink" Target="https://www.ochaopt.org/" TargetMode="External"/><Relationship Id="rId15" Type="http://schemas.openxmlformats.org/officeDocument/2006/relationships/theme" Target="theme/theme1.xml"/><Relationship Id="rId10" Type="http://schemas.openxmlformats.org/officeDocument/2006/relationships/hyperlink" Target="https://www.un.org/en/ga/third/" TargetMode="External"/><Relationship Id="rId4" Type="http://schemas.openxmlformats.org/officeDocument/2006/relationships/webSettings" Target="webSettings.xml"/><Relationship Id="rId9" Type="http://schemas.openxmlformats.org/officeDocument/2006/relationships/hyperlink" Target="https://www.hrw.org/middle-east/north-africa/israel/palesti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1006</Words>
  <Characters>5736</Characters>
  <Application>Microsoft Office Word</Application>
  <DocSecurity>0</DocSecurity>
  <Lines>47</Lines>
  <Paragraphs>13</Paragraphs>
  <ScaleCrop>false</ScaleCrop>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alsaidi</dc:creator>
  <cp:keywords/>
  <dc:description/>
  <cp:lastModifiedBy>mohammad alsaidi</cp:lastModifiedBy>
  <cp:revision>1</cp:revision>
  <dcterms:created xsi:type="dcterms:W3CDTF">2026-02-04T19:38:00Z</dcterms:created>
  <dcterms:modified xsi:type="dcterms:W3CDTF">2026-02-04T19:40:00Z</dcterms:modified>
</cp:coreProperties>
</file>