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Playfair Display" w:cs="Playfair Display" w:eastAsia="Playfair Display" w:hAnsi="Playfair Display"/>
          <w:b w:val="1"/>
          <w:bCs w:val="1"/>
          <w:i w:val="1"/>
          <w:iCs w:val="1"/>
          <w:sz w:val="30"/>
          <w:szCs w:val="30"/>
          <w:u w:val="single"/>
        </w:rPr>
      </w:pPr>
      <w:r w:rsidDel="00000000" w:rsidR="00000000" w:rsidRPr="00000000">
        <w:rPr>
          <w:rFonts w:ascii="Playfair Display" w:cs="Playfair Display" w:eastAsia="Playfair Display" w:hAnsi="Playfair Display"/>
          <w:b w:val="1"/>
          <w:bCs w:val="1"/>
          <w:i w:val="1"/>
          <w:iCs w:val="1"/>
          <w:sz w:val="30"/>
          <w:szCs w:val="30"/>
          <w:u w:val="single"/>
          <w:rtl w:val="0"/>
        </w:rPr>
        <w:t xml:space="preserve">Brief description </w:t>
      </w:r>
    </w:p>
    <w:p w:rsidR="00000000" w:rsidDel="00000000" w:rsidP="00000000" w:rsidRDefault="00000000" w:rsidRPr="00000000" w14:paraId="00000002">
      <w:pP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sz w:val="20"/>
          <w:szCs w:val="20"/>
          <w:rtl w:val="0"/>
        </w:rPr>
        <w:t xml:space="preserve">Back in 1984, Nicaragua stepped forward with a request to the International Court of Justice. Its claim centered on actions taken by the United States - specifically, armed interference and backing of rebel groups. Instead of waiting, Nicaragua moved early, pointing to harm done through force and funding. At the heart of the dispute stood a claim of violation: mines in harbors, aid to insurgents, and meddling in national decisions. What made it tricky wasn’t just proof, but whether the Court even had the right to decide. The U.S., unyielding from the start, questioned whether any ruling stood valid. They pointed to old agreements signed with conditions, saying those rules blocked the ICJ’s reach. Treaty lines, they argued, didn’t mix well with shared customs - a twist meant to question authority itself. Even though some treaty rules didn’t apply because of U.S. exceptions, the Court still had authority under normal international practice, ruling that treaty terms can’t replace long-standing legal standards. Seen as a turning point, it sharpened understanding about bans on military action and respect for other nations’ independence. Yet when America declined to honor damages afterward, it revealed how weak compliance mechanisms remain across global law.</w:t>
      </w:r>
    </w:p>
    <w:p w:rsidR="00000000" w:rsidDel="00000000" w:rsidP="00000000" w:rsidRDefault="00000000" w:rsidRPr="00000000" w14:paraId="00000003">
      <w:pPr>
        <w:rPr>
          <w:rFonts w:ascii="Playfair Display" w:cs="Playfair Display" w:eastAsia="Playfair Display" w:hAnsi="Playfair Display"/>
          <w:sz w:val="20"/>
          <w:szCs w:val="20"/>
        </w:rPr>
      </w:pPr>
      <w:r w:rsidDel="00000000" w:rsidR="00000000" w:rsidRPr="00000000">
        <w:rPr>
          <w:rtl w:val="0"/>
        </w:rPr>
      </w:r>
    </w:p>
    <w:p w:rsidR="00000000" w:rsidDel="00000000" w:rsidP="00000000" w:rsidRDefault="00000000" w:rsidRPr="00000000" w14:paraId="00000004">
      <w:pPr>
        <w:rPr>
          <w:rFonts w:ascii="Playfair Display" w:cs="Playfair Display" w:eastAsia="Playfair Display" w:hAnsi="Playfair Display"/>
          <w:sz w:val="20"/>
          <w:szCs w:val="20"/>
        </w:rPr>
      </w:pPr>
      <w:r w:rsidDel="00000000" w:rsidR="00000000" w:rsidRPr="00000000">
        <w:rPr>
          <w:rtl w:val="0"/>
        </w:rPr>
      </w:r>
    </w:p>
    <w:p w:rsidR="00000000" w:rsidDel="00000000" w:rsidP="00000000" w:rsidRDefault="00000000" w:rsidRPr="00000000" w14:paraId="00000005">
      <w:pPr>
        <w:rPr>
          <w:rFonts w:ascii="Playfair Display" w:cs="Playfair Display" w:eastAsia="Playfair Display" w:hAnsi="Playfair Display"/>
          <w:b w:val="1"/>
          <w:bCs w:val="1"/>
          <w:i w:val="1"/>
          <w:iCs w:val="1"/>
          <w:u w:val="single"/>
        </w:rPr>
      </w:pPr>
      <w:r w:rsidDel="00000000" w:rsidR="00000000" w:rsidRPr="00000000">
        <w:rPr>
          <w:rFonts w:ascii="Playfair Display" w:cs="Playfair Display" w:eastAsia="Playfair Display" w:hAnsi="Playfair Display"/>
          <w:b w:val="1"/>
          <w:bCs w:val="1"/>
          <w:i w:val="1"/>
          <w:iCs w:val="1"/>
          <w:sz w:val="30"/>
          <w:szCs w:val="30"/>
          <w:u w:val="single"/>
          <w:rtl w:val="0"/>
        </w:rPr>
        <w:t xml:space="preserve">History of the case</w:t>
      </w:r>
      <w:r w:rsidDel="00000000" w:rsidR="00000000" w:rsidRPr="00000000">
        <w:rPr>
          <w:rFonts w:ascii="Playfair Display" w:cs="Playfair Display" w:eastAsia="Playfair Display" w:hAnsi="Playfair Display"/>
          <w:b w:val="1"/>
          <w:bCs w:val="1"/>
          <w:i w:val="1"/>
          <w:iCs w:val="1"/>
          <w:u w:val="single"/>
          <w:rtl w:val="0"/>
        </w:rPr>
        <w:t xml:space="preserve"> </w:t>
      </w:r>
    </w:p>
    <w:p w:rsidR="00000000" w:rsidDel="00000000" w:rsidP="00000000" w:rsidRDefault="00000000" w:rsidRPr="00000000" w14:paraId="00000006">
      <w:pP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sz w:val="20"/>
          <w:szCs w:val="20"/>
          <w:rtl w:val="0"/>
        </w:rPr>
        <w:t xml:space="preserve">This dispute, heard by the International Court of Justice (ICJ), provides a vivid illustration of the complexities of international relations, the nature of legal obligations between sovereign states, and the enduring tension between legal principles and geopolitical realities. At its heart, the case exposed the United States' covert funding of the Contras – a rebel group aiming to destabilize the Nicaraguan government – and forced the ICJ to grapple with fundamental questions about jurisdiction, treaty law, and customary international law. We must first journey back to the Cold War, a period where ideological divides reshaped global alliances and conflicts. Following World War II, the uneasy alliance between the democratic West and the communist Soviet Union fractured, giving rise to an "Iron Curtain" across Europe. This "Cold War" was characterized not by direct military confrontation between the superpowers, but by proxy wars, an arms race, space races, and fierce ideological competition.</w:t>
      </w:r>
    </w:p>
    <w:p w:rsidR="00000000" w:rsidDel="00000000" w:rsidP="00000000" w:rsidRDefault="00000000" w:rsidRPr="00000000" w14:paraId="00000007">
      <w:pPr>
        <w:rPr>
          <w:rFonts w:ascii="Playfair Display" w:cs="Playfair Display" w:eastAsia="Playfair Display" w:hAnsi="Playfair Display"/>
          <w:sz w:val="20"/>
          <w:szCs w:val="20"/>
        </w:rPr>
      </w:pPr>
      <w:r w:rsidDel="00000000" w:rsidR="00000000" w:rsidRPr="00000000">
        <w:rPr>
          <w:rtl w:val="0"/>
        </w:rPr>
      </w:r>
    </w:p>
    <w:p w:rsidR="00000000" w:rsidDel="00000000" w:rsidP="00000000" w:rsidRDefault="00000000" w:rsidRPr="00000000" w14:paraId="00000008">
      <w:pP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sz w:val="20"/>
          <w:szCs w:val="20"/>
          <w:rtl w:val="0"/>
        </w:rPr>
        <w:t xml:space="preserve">During the Cold War, the Soviet Union sought to expand communism globally, including into the Americas through allies such as Cuba, while the United States prioritized containing this expansion as a central objective of its foreign policy. Nicaragua, a small agricultural state in Central America, became entangled in this ideological conflict due to its strategic location and political instability. Following independence from Spain in 1821, Nicaragua experienced prolonged unrest, culminating in the rise of Anastasio Somoza García and the establishment of a U.S.-backed, anti-communist dictatorship that ruled from the 1930s until the late 1970s, aligning Nicaragua closely with American strategic interests.</w:t>
      </w:r>
    </w:p>
    <w:p w:rsidR="00000000" w:rsidDel="00000000" w:rsidP="00000000" w:rsidRDefault="00000000" w:rsidRPr="00000000" w14:paraId="00000009">
      <w:pPr>
        <w:rPr>
          <w:rFonts w:ascii="Playfair Display" w:cs="Playfair Display" w:eastAsia="Playfair Display" w:hAnsi="Playfair Display"/>
          <w:sz w:val="20"/>
          <w:szCs w:val="20"/>
        </w:rPr>
      </w:pPr>
      <w:r w:rsidDel="00000000" w:rsidR="00000000" w:rsidRPr="00000000">
        <w:rPr>
          <w:rtl w:val="0"/>
        </w:rPr>
      </w:r>
    </w:p>
    <w:p w:rsidR="00000000" w:rsidDel="00000000" w:rsidP="00000000" w:rsidRDefault="00000000" w:rsidRPr="00000000" w14:paraId="0000000A">
      <w:pP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sz w:val="20"/>
          <w:szCs w:val="20"/>
          <w:rtl w:val="0"/>
        </w:rPr>
        <w:t xml:space="preserve">What stood out wasn’t just law. It was where power hides when nations argue. Back during the Cold War, ideas split the world into sides - each fighting its own shadow. Alliances shifted like wind, driven by invisible forces. Disputes didn’t follow rules; they made new ones fast. After World War II, a shaky partnership between Western democracies and Soviet communism began to break apart, creating what people later called the "Iron Curtain" in Eastern Europe. Instead of full-scale battles, tensions unfolded through hidden conflicts, escalating weapons, rival moon landings, and intense battles of belief - this defined the era known as the Cold War.</w:t>
      </w:r>
    </w:p>
    <w:p w:rsidR="00000000" w:rsidDel="00000000" w:rsidP="00000000" w:rsidRDefault="00000000" w:rsidRPr="00000000" w14:paraId="0000000B">
      <w:pPr>
        <w:rPr>
          <w:rFonts w:ascii="Playfair Display" w:cs="Playfair Display" w:eastAsia="Playfair Display" w:hAnsi="Playfair Display"/>
          <w:sz w:val="20"/>
          <w:szCs w:val="20"/>
        </w:rPr>
      </w:pPr>
      <w:r w:rsidDel="00000000" w:rsidR="00000000" w:rsidRPr="00000000">
        <w:rPr>
          <w:rtl w:val="0"/>
        </w:rPr>
      </w:r>
    </w:p>
    <w:p w:rsidR="00000000" w:rsidDel="00000000" w:rsidP="00000000" w:rsidRDefault="00000000" w:rsidRPr="00000000" w14:paraId="0000000C">
      <w:pP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sz w:val="20"/>
          <w:szCs w:val="20"/>
          <w:rtl w:val="0"/>
        </w:rPr>
        <w:t xml:space="preserve">From that moment on, Nicaragua turned to the International Court of Justice, claiming America had crossed its boundaries through armed intervention and secret meddling within state borders. Instead of naming single acts, Nicaragua pointed to possible violations across multiple agreements - the UN Charter, the Americas version of regional rules, the Montevideo formula for state existence, and a treaty handling national crises during insurrections. Right back at that move, the U.S. challenged whether the Court even had power to decide - citing an exception built into the ICJ rules where treaty-based conflicts needed every involved nation standing in court before judgment could be made.</w:t>
      </w:r>
    </w:p>
    <w:p w:rsidR="00000000" w:rsidDel="00000000" w:rsidP="00000000" w:rsidRDefault="00000000" w:rsidRPr="00000000" w14:paraId="0000000D">
      <w:pP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sz w:val="20"/>
          <w:szCs w:val="20"/>
          <w:rtl w:val="0"/>
        </w:rPr>
        <w:t xml:space="preserve">Washington claimed nearby nations like Honduras, El Salvador, and Costa Rica felt the impact yet weren’t involved. At first, the Court dismissed this view, saying it had control. Yet later analysis called that logic repetitive - especially after Judge Schwebel spoke up. Backing down, the U.S. left the case entirely. In the end, the tribunal recognized El Salvador faced consequences, which narrowed where authority could reach on Nicaragua’s contract-related demands.</w:t>
      </w:r>
    </w:p>
    <w:p w:rsidR="00000000" w:rsidDel="00000000" w:rsidP="00000000" w:rsidRDefault="00000000" w:rsidRPr="00000000" w14:paraId="0000000E">
      <w:pPr>
        <w:rPr>
          <w:rFonts w:ascii="Playfair Display" w:cs="Playfair Display" w:eastAsia="Playfair Display" w:hAnsi="Playfair Display"/>
          <w:sz w:val="20"/>
          <w:szCs w:val="20"/>
        </w:rPr>
      </w:pPr>
      <w:r w:rsidDel="00000000" w:rsidR="00000000" w:rsidRPr="00000000">
        <w:rPr>
          <w:rtl w:val="0"/>
        </w:rPr>
      </w:r>
    </w:p>
    <w:p w:rsidR="00000000" w:rsidDel="00000000" w:rsidP="00000000" w:rsidRDefault="00000000" w:rsidRPr="00000000" w14:paraId="0000000F">
      <w:pPr>
        <w:rPr>
          <w:rFonts w:ascii="Playfair Display" w:cs="Playfair Display" w:eastAsia="Playfair Display" w:hAnsi="Playfair Display"/>
          <w:b w:val="1"/>
          <w:bCs w:val="1"/>
          <w:i w:val="1"/>
          <w:iCs w:val="1"/>
          <w:sz w:val="30"/>
          <w:szCs w:val="30"/>
          <w:u w:val="single"/>
        </w:rPr>
      </w:pPr>
      <w:r w:rsidDel="00000000" w:rsidR="00000000" w:rsidRPr="00000000">
        <w:rPr>
          <w:rFonts w:ascii="Playfair Display" w:cs="Playfair Display" w:eastAsia="Playfair Display" w:hAnsi="Playfair Display"/>
          <w:b w:val="1"/>
          <w:bCs w:val="1"/>
          <w:i w:val="1"/>
          <w:iCs w:val="1"/>
          <w:sz w:val="30"/>
          <w:szCs w:val="30"/>
          <w:u w:val="single"/>
          <w:rtl w:val="0"/>
        </w:rPr>
        <w:t xml:space="preserve">Facts of the case </w:t>
      </w:r>
    </w:p>
    <w:p w:rsidR="00000000" w:rsidDel="00000000" w:rsidP="00000000" w:rsidRDefault="00000000" w:rsidRPr="00000000" w14:paraId="00000010">
      <w:pP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b w:val="1"/>
          <w:bCs w:val="1"/>
          <w:sz w:val="20"/>
          <w:szCs w:val="20"/>
          <w:rtl w:val="0"/>
        </w:rPr>
        <w:t xml:space="preserve">ICJ Judgment &amp; Customary Law:</w:t>
      </w:r>
      <w:r w:rsidDel="00000000" w:rsidR="00000000" w:rsidRPr="00000000">
        <w:rPr>
          <w:rFonts w:ascii="Playfair Display" w:cs="Playfair Display" w:eastAsia="Playfair Display" w:hAnsi="Playfair Display"/>
          <w:sz w:val="20"/>
          <w:szCs w:val="20"/>
          <w:rtl w:val="0"/>
        </w:rPr>
        <w:t xml:space="preserve"> The ICJ said America broke two rules - no force used, no foreign meddling - showing those standards stand apart from written agreements.</w:t>
      </w:r>
    </w:p>
    <w:p w:rsidR="00000000" w:rsidDel="00000000" w:rsidP="00000000" w:rsidRDefault="00000000" w:rsidRPr="00000000" w14:paraId="00000011">
      <w:pPr>
        <w:rPr>
          <w:rFonts w:ascii="Playfair Display" w:cs="Playfair Display" w:eastAsia="Playfair Display" w:hAnsi="Playfair Display"/>
          <w:sz w:val="20"/>
          <w:szCs w:val="20"/>
        </w:rPr>
      </w:pPr>
      <w:r w:rsidDel="00000000" w:rsidR="00000000" w:rsidRPr="00000000">
        <w:rPr>
          <w:rtl w:val="0"/>
        </w:rPr>
      </w:r>
    </w:p>
    <w:p w:rsidR="00000000" w:rsidDel="00000000" w:rsidP="00000000" w:rsidRDefault="00000000" w:rsidRPr="00000000" w14:paraId="00000012">
      <w:pP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b w:val="1"/>
          <w:bCs w:val="1"/>
          <w:sz w:val="20"/>
          <w:szCs w:val="20"/>
          <w:rtl w:val="0"/>
        </w:rPr>
        <w:t xml:space="preserve">Jurisdiction: </w:t>
      </w:r>
      <w:r w:rsidDel="00000000" w:rsidR="00000000" w:rsidRPr="00000000">
        <w:rPr>
          <w:rFonts w:ascii="Playfair Display" w:cs="Playfair Display" w:eastAsia="Playfair Display" w:hAnsi="Playfair Display"/>
          <w:sz w:val="20"/>
          <w:szCs w:val="20"/>
          <w:rtl w:val="0"/>
        </w:rPr>
        <w:t xml:space="preserve">Even though the U.S. opposed it, the ICJ still had authority under customs practices. Customary rights were covered that way. Yet access through treaties stayed narrow because of Washington’s earlier caveat.</w:t>
      </w:r>
    </w:p>
    <w:p w:rsidR="00000000" w:rsidDel="00000000" w:rsidP="00000000" w:rsidRDefault="00000000" w:rsidRPr="00000000" w14:paraId="00000013">
      <w:pPr>
        <w:rPr>
          <w:rFonts w:ascii="Playfair Display" w:cs="Playfair Display" w:eastAsia="Playfair Display" w:hAnsi="Playfair Display"/>
          <w:sz w:val="20"/>
          <w:szCs w:val="20"/>
        </w:rPr>
      </w:pPr>
      <w:r w:rsidDel="00000000" w:rsidR="00000000" w:rsidRPr="00000000">
        <w:rPr>
          <w:rtl w:val="0"/>
        </w:rPr>
      </w:r>
    </w:p>
    <w:p w:rsidR="00000000" w:rsidDel="00000000" w:rsidP="00000000" w:rsidRDefault="00000000" w:rsidRPr="00000000" w14:paraId="00000014">
      <w:pP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b w:val="1"/>
          <w:bCs w:val="1"/>
          <w:sz w:val="20"/>
          <w:szCs w:val="20"/>
          <w:rtl w:val="0"/>
        </w:rPr>
        <w:t xml:space="preserve">U.S. Support for Contras: </w:t>
      </w:r>
      <w:r w:rsidDel="00000000" w:rsidR="00000000" w:rsidRPr="00000000">
        <w:rPr>
          <w:rFonts w:ascii="Playfair Display" w:cs="Playfair Display" w:eastAsia="Playfair Display" w:hAnsi="Playfair Display"/>
          <w:sz w:val="20"/>
          <w:szCs w:val="20"/>
          <w:rtl w:val="0"/>
        </w:rPr>
        <w:t xml:space="preserve">The U.S. funded, armed, and directed the Contras in attacks on Nicaraguan targets, constituting unlawful intervention.</w:t>
      </w:r>
    </w:p>
    <w:p w:rsidR="00000000" w:rsidDel="00000000" w:rsidP="00000000" w:rsidRDefault="00000000" w:rsidRPr="00000000" w14:paraId="00000015">
      <w:pPr>
        <w:rPr>
          <w:rFonts w:ascii="Playfair Display" w:cs="Playfair Display" w:eastAsia="Playfair Display" w:hAnsi="Playfair Display"/>
          <w:sz w:val="20"/>
          <w:szCs w:val="20"/>
        </w:rPr>
      </w:pPr>
      <w:r w:rsidDel="00000000" w:rsidR="00000000" w:rsidRPr="00000000">
        <w:rPr>
          <w:rtl w:val="0"/>
        </w:rPr>
      </w:r>
    </w:p>
    <w:p w:rsidR="00000000" w:rsidDel="00000000" w:rsidP="00000000" w:rsidRDefault="00000000" w:rsidRPr="00000000" w14:paraId="00000016">
      <w:pP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b w:val="1"/>
          <w:bCs w:val="1"/>
          <w:sz w:val="20"/>
          <w:szCs w:val="20"/>
          <w:rtl w:val="0"/>
        </w:rPr>
        <w:t xml:space="preserve">Treaty vs. Customary Law:</w:t>
      </w:r>
      <w:r w:rsidDel="00000000" w:rsidR="00000000" w:rsidRPr="00000000">
        <w:rPr>
          <w:rFonts w:ascii="Playfair Display" w:cs="Playfair Display" w:eastAsia="Playfair Display" w:hAnsi="Playfair Display"/>
          <w:sz w:val="20"/>
          <w:szCs w:val="20"/>
          <w:rtl w:val="0"/>
        </w:rPr>
        <w:t xml:space="preserve"> The case clarified that treaty rules and customary norms can coexist, even when overlapping.</w:t>
      </w:r>
    </w:p>
    <w:p w:rsidR="00000000" w:rsidDel="00000000" w:rsidP="00000000" w:rsidRDefault="00000000" w:rsidRPr="00000000" w14:paraId="00000017">
      <w:pPr>
        <w:rPr>
          <w:rFonts w:ascii="Playfair Display" w:cs="Playfair Display" w:eastAsia="Playfair Display" w:hAnsi="Playfair Display"/>
          <w:sz w:val="20"/>
          <w:szCs w:val="20"/>
        </w:rPr>
      </w:pPr>
      <w:r w:rsidDel="00000000" w:rsidR="00000000" w:rsidRPr="00000000">
        <w:rPr>
          <w:rtl w:val="0"/>
        </w:rPr>
      </w:r>
    </w:p>
    <w:p w:rsidR="00000000" w:rsidDel="00000000" w:rsidP="00000000" w:rsidRDefault="00000000" w:rsidRPr="00000000" w14:paraId="00000018">
      <w:pPr>
        <w:rPr>
          <w:rFonts w:ascii="Playfair Display" w:cs="Playfair Display" w:eastAsia="Playfair Display" w:hAnsi="Playfair Display"/>
          <w:b w:val="1"/>
          <w:bCs w:val="1"/>
          <w:i w:val="1"/>
          <w:iCs w:val="1"/>
          <w:sz w:val="30"/>
          <w:szCs w:val="30"/>
          <w:u w:val="single"/>
        </w:rPr>
      </w:pPr>
      <w:r w:rsidDel="00000000" w:rsidR="00000000" w:rsidRPr="00000000">
        <w:rPr>
          <w:rFonts w:ascii="Playfair Display" w:cs="Playfair Display" w:eastAsia="Playfair Display" w:hAnsi="Playfair Display"/>
          <w:b w:val="1"/>
          <w:bCs w:val="1"/>
          <w:i w:val="1"/>
          <w:iCs w:val="1"/>
          <w:sz w:val="30"/>
          <w:szCs w:val="30"/>
          <w:u w:val="single"/>
          <w:rtl w:val="0"/>
        </w:rPr>
        <w:t xml:space="preserve">Possible arguments for the prosecution </w:t>
      </w:r>
    </w:p>
    <w:p w:rsidR="00000000" w:rsidDel="00000000" w:rsidP="00000000" w:rsidRDefault="00000000" w:rsidRPr="00000000" w14:paraId="00000019">
      <w:pP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b w:val="1"/>
          <w:bCs w:val="1"/>
          <w:sz w:val="20"/>
          <w:szCs w:val="20"/>
          <w:rtl w:val="0"/>
        </w:rPr>
        <w:t xml:space="preserve">The U.S violating Nicaragua’s Sovereignty:</w:t>
      </w:r>
      <w:r w:rsidDel="00000000" w:rsidR="00000000" w:rsidRPr="00000000">
        <w:rPr>
          <w:rFonts w:ascii="Playfair Display" w:cs="Playfair Display" w:eastAsia="Playfair Display" w:hAnsi="Playfair Display"/>
          <w:sz w:val="20"/>
          <w:szCs w:val="20"/>
          <w:rtl w:val="0"/>
        </w:rPr>
        <w:t xml:space="preserve"> The U.S got intervened with Nicaragua’s internal affairs, used military force to destabilize the country.</w:t>
      </w:r>
    </w:p>
    <w:p w:rsidR="00000000" w:rsidDel="00000000" w:rsidP="00000000" w:rsidRDefault="00000000" w:rsidRPr="00000000" w14:paraId="0000001A">
      <w:pPr>
        <w:rPr>
          <w:rFonts w:ascii="Playfair Display" w:cs="Playfair Display" w:eastAsia="Playfair Display" w:hAnsi="Playfair Display"/>
          <w:sz w:val="20"/>
          <w:szCs w:val="20"/>
        </w:rPr>
      </w:pPr>
      <w:r w:rsidDel="00000000" w:rsidR="00000000" w:rsidRPr="00000000">
        <w:rPr>
          <w:rtl w:val="0"/>
        </w:rPr>
      </w:r>
    </w:p>
    <w:p w:rsidR="00000000" w:rsidDel="00000000" w:rsidP="00000000" w:rsidRDefault="00000000" w:rsidRPr="00000000" w14:paraId="0000001B">
      <w:pP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b w:val="1"/>
          <w:bCs w:val="1"/>
          <w:sz w:val="20"/>
          <w:szCs w:val="20"/>
          <w:rtl w:val="0"/>
        </w:rPr>
        <w:t xml:space="preserve">Unlawful use of force: </w:t>
      </w:r>
      <w:r w:rsidDel="00000000" w:rsidR="00000000" w:rsidRPr="00000000">
        <w:rPr>
          <w:rFonts w:ascii="Playfair Display" w:cs="Playfair Display" w:eastAsia="Playfair Display" w:hAnsi="Playfair Display"/>
          <w:sz w:val="20"/>
          <w:szCs w:val="20"/>
          <w:rtl w:val="0"/>
        </w:rPr>
        <w:t xml:space="preserve">Funding, training and directing the Contras group constitutes the threat of force. </w:t>
      </w:r>
    </w:p>
    <w:p w:rsidR="00000000" w:rsidDel="00000000" w:rsidP="00000000" w:rsidRDefault="00000000" w:rsidRPr="00000000" w14:paraId="0000001C">
      <w:pPr>
        <w:rPr>
          <w:rFonts w:ascii="Playfair Display" w:cs="Playfair Display" w:eastAsia="Playfair Display" w:hAnsi="Playfair Display"/>
          <w:sz w:val="20"/>
          <w:szCs w:val="20"/>
        </w:rPr>
      </w:pPr>
      <w:r w:rsidDel="00000000" w:rsidR="00000000" w:rsidRPr="00000000">
        <w:rPr>
          <w:rtl w:val="0"/>
        </w:rPr>
      </w:r>
    </w:p>
    <w:p w:rsidR="00000000" w:rsidDel="00000000" w:rsidP="00000000" w:rsidRDefault="00000000" w:rsidRPr="00000000" w14:paraId="0000001D">
      <w:pP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b w:val="1"/>
          <w:bCs w:val="1"/>
          <w:sz w:val="20"/>
          <w:szCs w:val="20"/>
          <w:rtl w:val="0"/>
        </w:rPr>
        <w:t xml:space="preserve">Breach of the OAS charter, Article 18: </w:t>
      </w:r>
      <w:r w:rsidDel="00000000" w:rsidR="00000000" w:rsidRPr="00000000">
        <w:rPr>
          <w:rFonts w:ascii="Playfair Display" w:cs="Playfair Display" w:eastAsia="Playfair Display" w:hAnsi="Playfair Display"/>
          <w:sz w:val="20"/>
          <w:szCs w:val="20"/>
          <w:rtl w:val="0"/>
        </w:rPr>
        <w:t xml:space="preserve">The U.S. violated the article by intervening Directly and indirectly in Nicaragua’s affairs. </w:t>
      </w:r>
    </w:p>
    <w:p w:rsidR="00000000" w:rsidDel="00000000" w:rsidP="00000000" w:rsidRDefault="00000000" w:rsidRPr="00000000" w14:paraId="0000001E">
      <w:pPr>
        <w:rPr>
          <w:rFonts w:ascii="Playfair Display" w:cs="Playfair Display" w:eastAsia="Playfair Display" w:hAnsi="Playfair Display"/>
          <w:sz w:val="20"/>
          <w:szCs w:val="20"/>
        </w:rPr>
      </w:pPr>
      <w:r w:rsidDel="00000000" w:rsidR="00000000" w:rsidRPr="00000000">
        <w:rPr>
          <w:rtl w:val="0"/>
        </w:rPr>
      </w:r>
    </w:p>
    <w:p w:rsidR="00000000" w:rsidDel="00000000" w:rsidP="00000000" w:rsidRDefault="00000000" w:rsidRPr="00000000" w14:paraId="0000001F">
      <w:pPr>
        <w:rPr>
          <w:rFonts w:ascii="Playfair Display" w:cs="Playfair Display" w:eastAsia="Playfair Display" w:hAnsi="Playfair Display"/>
          <w:b w:val="1"/>
          <w:bCs w:val="1"/>
          <w:i w:val="1"/>
          <w:iCs w:val="1"/>
          <w:sz w:val="30"/>
          <w:szCs w:val="30"/>
          <w:u w:val="single"/>
        </w:rPr>
      </w:pPr>
      <w:r w:rsidDel="00000000" w:rsidR="00000000" w:rsidRPr="00000000">
        <w:rPr>
          <w:rFonts w:ascii="Playfair Display" w:cs="Playfair Display" w:eastAsia="Playfair Display" w:hAnsi="Playfair Display"/>
          <w:b w:val="1"/>
          <w:bCs w:val="1"/>
          <w:i w:val="1"/>
          <w:iCs w:val="1"/>
          <w:sz w:val="30"/>
          <w:szCs w:val="30"/>
          <w:u w:val="single"/>
          <w:rtl w:val="0"/>
        </w:rPr>
        <w:t xml:space="preserve">Possible arguments for the Defence. </w:t>
      </w:r>
    </w:p>
    <w:p w:rsidR="00000000" w:rsidDel="00000000" w:rsidP="00000000" w:rsidRDefault="00000000" w:rsidRPr="00000000" w14:paraId="00000020">
      <w:pP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b w:val="1"/>
          <w:bCs w:val="1"/>
          <w:sz w:val="20"/>
          <w:szCs w:val="20"/>
          <w:rtl w:val="0"/>
        </w:rPr>
        <w:t xml:space="preserve">Multilateral Treaty Reservation: </w:t>
      </w:r>
      <w:r w:rsidDel="00000000" w:rsidR="00000000" w:rsidRPr="00000000">
        <w:rPr>
          <w:rFonts w:ascii="Playfair Display" w:cs="Playfair Display" w:eastAsia="Playfair Display" w:hAnsi="Playfair Display"/>
          <w:sz w:val="20"/>
          <w:szCs w:val="20"/>
          <w:rtl w:val="0"/>
        </w:rPr>
        <w:t xml:space="preserve">When signing the ICJ statute, the U.S made a reservation that stated that the U.S wont have Jurisdiction over it from disputes arising from multilateral treaties unless the conditions it made were met. </w:t>
      </w:r>
    </w:p>
    <w:p w:rsidR="00000000" w:rsidDel="00000000" w:rsidP="00000000" w:rsidRDefault="00000000" w:rsidRPr="00000000" w14:paraId="00000021">
      <w:pPr>
        <w:rPr>
          <w:rFonts w:ascii="Playfair Display" w:cs="Playfair Display" w:eastAsia="Playfair Display" w:hAnsi="Playfair Display"/>
          <w:sz w:val="20"/>
          <w:szCs w:val="20"/>
        </w:rPr>
      </w:pPr>
      <w:r w:rsidDel="00000000" w:rsidR="00000000" w:rsidRPr="00000000">
        <w:rPr>
          <w:rtl w:val="0"/>
        </w:rPr>
      </w:r>
    </w:p>
    <w:p w:rsidR="00000000" w:rsidDel="00000000" w:rsidP="00000000" w:rsidRDefault="00000000" w:rsidRPr="00000000" w14:paraId="00000022">
      <w:pP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b w:val="1"/>
          <w:bCs w:val="1"/>
          <w:sz w:val="20"/>
          <w:szCs w:val="20"/>
          <w:rtl w:val="0"/>
        </w:rPr>
        <w:t xml:space="preserve">Customary Law Redundancy:</w:t>
      </w:r>
      <w:r w:rsidDel="00000000" w:rsidR="00000000" w:rsidRPr="00000000">
        <w:rPr>
          <w:rFonts w:ascii="Playfair Display" w:cs="Playfair Display" w:eastAsia="Playfair Display" w:hAnsi="Playfair Display"/>
          <w:sz w:val="24"/>
          <w:szCs w:val="24"/>
          <w:rtl w:val="0"/>
        </w:rPr>
        <w:t xml:space="preserve"> </w:t>
      </w:r>
      <w:r w:rsidDel="00000000" w:rsidR="00000000" w:rsidRPr="00000000">
        <w:rPr>
          <w:rFonts w:ascii="Playfair Display" w:cs="Playfair Display" w:eastAsia="Playfair Display" w:hAnsi="Playfair Display"/>
          <w:sz w:val="20"/>
          <w:szCs w:val="20"/>
          <w:rtl w:val="0"/>
        </w:rPr>
        <w:t xml:space="preserve">The U.S. contended that Nicaragua’s customary law claims merely restated treaty obligations and were superseded by comprehensive treaties like the UN Charter.</w:t>
      </w:r>
    </w:p>
    <w:p w:rsidR="00000000" w:rsidDel="00000000" w:rsidP="00000000" w:rsidRDefault="00000000" w:rsidRPr="00000000" w14:paraId="00000023">
      <w:pPr>
        <w:rPr>
          <w:rFonts w:ascii="Playfair Display" w:cs="Playfair Display" w:eastAsia="Playfair Display" w:hAnsi="Playfair Display"/>
          <w:b w:val="1"/>
          <w:bCs w:val="1"/>
          <w:sz w:val="20"/>
          <w:szCs w:val="20"/>
        </w:rPr>
      </w:pPr>
      <w:r w:rsidDel="00000000" w:rsidR="00000000" w:rsidRPr="00000000">
        <w:rPr>
          <w:rtl w:val="0"/>
        </w:rPr>
      </w:r>
    </w:p>
    <w:p w:rsidR="00000000" w:rsidDel="00000000" w:rsidP="00000000" w:rsidRDefault="00000000" w:rsidRPr="00000000" w14:paraId="00000024">
      <w:pPr>
        <w:rPr>
          <w:rFonts w:ascii="Playfair Display" w:cs="Playfair Display" w:eastAsia="Playfair Display" w:hAnsi="Playfair Display"/>
          <w:b w:val="1"/>
          <w:bCs w:val="1"/>
          <w:i w:val="1"/>
          <w:iCs w:val="1"/>
          <w:sz w:val="30"/>
          <w:szCs w:val="30"/>
          <w:u w:val="single"/>
        </w:rPr>
      </w:pPr>
      <w:r w:rsidDel="00000000" w:rsidR="00000000" w:rsidRPr="00000000">
        <w:rPr>
          <w:rFonts w:ascii="Playfair Display" w:cs="Playfair Display" w:eastAsia="Playfair Display" w:hAnsi="Playfair Display"/>
          <w:b w:val="1"/>
          <w:bCs w:val="1"/>
          <w:i w:val="1"/>
          <w:iCs w:val="1"/>
          <w:sz w:val="30"/>
          <w:szCs w:val="30"/>
          <w:u w:val="single"/>
          <w:rtl w:val="0"/>
        </w:rPr>
        <w:t xml:space="preserve">Conclusion </w:t>
      </w:r>
    </w:p>
    <w:p w:rsidR="00000000" w:rsidDel="00000000" w:rsidP="00000000" w:rsidRDefault="00000000" w:rsidRPr="00000000" w14:paraId="00000025">
      <w:pP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sz w:val="20"/>
          <w:szCs w:val="20"/>
          <w:rtl w:val="0"/>
        </w:rPr>
        <w:t xml:space="preserve">One moment stands out: Nicaragua versus the United States became a turning point in global legal history. Customary rules mixed with binding agreements - yet clarity on consequences remained unclear. When Washington declined adherence and pulled out of court jurisdiction, tensions surfaced. Sovereignty clashed with duty, self-interest tangled with commitments. This crossroads exposed both hope and vulnerability in resolving disputes among nations.</w:t>
      </w:r>
    </w:p>
    <w:p w:rsidR="00000000" w:rsidDel="00000000" w:rsidP="00000000" w:rsidRDefault="00000000" w:rsidRPr="00000000" w14:paraId="00000026">
      <w:pPr>
        <w:rPr>
          <w:b w:val="1"/>
          <w:bCs w:val="1"/>
          <w:i w:val="1"/>
          <w:iCs w:val="1"/>
          <w:sz w:val="30"/>
          <w:szCs w:val="30"/>
          <w:u w:val="single"/>
        </w:rPr>
      </w:pPr>
      <w:r w:rsidDel="00000000" w:rsidR="00000000" w:rsidRPr="00000000">
        <w:rPr>
          <w:rtl w:val="0"/>
        </w:rPr>
      </w:r>
    </w:p>
    <w:p w:rsidR="00000000" w:rsidDel="00000000" w:rsidP="00000000" w:rsidRDefault="00000000" w:rsidRPr="00000000" w14:paraId="00000027">
      <w:pPr>
        <w:rPr>
          <w:b w:val="1"/>
          <w:bCs w:val="1"/>
          <w:i w:val="1"/>
          <w:iCs w:val="1"/>
          <w:sz w:val="30"/>
          <w:szCs w:val="30"/>
          <w:u w:val="single"/>
        </w:rPr>
      </w:pPr>
      <w:r w:rsidDel="00000000" w:rsidR="00000000" w:rsidRPr="00000000">
        <w:rPr>
          <w:b w:val="1"/>
          <w:bCs w:val="1"/>
          <w:i w:val="1"/>
          <w:iCs w:val="1"/>
          <w:sz w:val="30"/>
          <w:szCs w:val="30"/>
          <w:u w:val="single"/>
          <w:rtl w:val="0"/>
        </w:rPr>
        <w:t xml:space="preserve">References </w:t>
      </w:r>
    </w:p>
    <w:p w:rsidR="00000000" w:rsidDel="00000000" w:rsidP="00000000" w:rsidRDefault="00000000" w:rsidRPr="00000000" w14:paraId="00000028">
      <w:pPr>
        <w:rPr>
          <w:sz w:val="20"/>
          <w:szCs w:val="20"/>
        </w:rPr>
      </w:pPr>
      <w:hyperlink r:id="rId6">
        <w:r w:rsidDel="00000000" w:rsidR="00000000" w:rsidRPr="00000000">
          <w:rPr>
            <w:color w:val="1155cc"/>
            <w:sz w:val="20"/>
            <w:szCs w:val="20"/>
            <w:u w:val="single"/>
            <w:rtl w:val="0"/>
          </w:rPr>
          <w:t xml:space="preserve">https://www.icj-cij.org/case/70</w:t>
        </w:r>
      </w:hyperlink>
      <w:r w:rsidDel="00000000" w:rsidR="00000000" w:rsidRPr="00000000">
        <w:rPr>
          <w:rtl w:val="0"/>
        </w:rPr>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rPr>
          <w:sz w:val="20"/>
          <w:szCs w:val="20"/>
        </w:rPr>
      </w:pPr>
      <w:hyperlink r:id="rId7">
        <w:r w:rsidDel="00000000" w:rsidR="00000000" w:rsidRPr="00000000">
          <w:rPr>
            <w:color w:val="1155cc"/>
            <w:sz w:val="20"/>
            <w:szCs w:val="20"/>
            <w:u w:val="single"/>
            <w:rtl w:val="0"/>
          </w:rPr>
          <w:t xml:space="preserve">https://casebook.icrc.org/case-study/icj-nicaragua-v-united-states</w:t>
        </w:r>
      </w:hyperlink>
      <w:r w:rsidDel="00000000" w:rsidR="00000000" w:rsidRPr="00000000">
        <w:rPr>
          <w:rtl w:val="0"/>
        </w:rPr>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rPr/>
      </w:pPr>
      <w:hyperlink r:id="rId8">
        <w:r w:rsidDel="00000000" w:rsidR="00000000" w:rsidRPr="00000000">
          <w:rPr>
            <w:color w:val="1155cc"/>
            <w:sz w:val="20"/>
            <w:szCs w:val="20"/>
            <w:u w:val="single"/>
            <w:rtl w:val="0"/>
          </w:rPr>
          <w:t xml:space="preserve">https://www.casebriefs.com/blog/law/international-law/international-law-keyed-to</w:t>
        </w:r>
      </w:hyperlink>
      <w:r w:rsidDel="00000000" w:rsidR="00000000" w:rsidRPr="00000000">
        <w:rPr>
          <w:rtl w:val="0"/>
        </w:rPr>
      </w:r>
    </w:p>
    <w:p w:rsidR="00000000" w:rsidDel="00000000" w:rsidP="00000000" w:rsidRDefault="00000000" w:rsidRPr="00000000" w14:paraId="0000002D">
      <w:pPr>
        <w:rPr>
          <w:sz w:val="20"/>
          <w:szCs w:val="20"/>
        </w:rPr>
      </w:pPr>
      <w:hyperlink r:id="rId9">
        <w:r w:rsidDel="00000000" w:rsidR="00000000" w:rsidRPr="00000000">
          <w:rPr>
            <w:color w:val="1155cc"/>
            <w:sz w:val="20"/>
            <w:szCs w:val="20"/>
            <w:u w:val="single"/>
            <w:rtl w:val="0"/>
          </w:rPr>
          <w:t xml:space="preserve">-damrosche/chapter-2/military-and-paramilitary-activities-in-and-against-nicaragua-nicaragua-v-united-states/?utm_source=chatgpt.com</w:t>
        </w:r>
      </w:hyperlink>
      <w:r w:rsidDel="00000000" w:rsidR="00000000" w:rsidRPr="00000000">
        <w:rPr>
          <w:rtl w:val="0"/>
        </w:rPr>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asebriefs.com/blog/law/international-law/international-law-keyed-to-damrosche/chapter-2/military-and-paramilitary-activities-in-and-against-nicaragua-nicaragua-v-united-states/?utm_source=chatgpt.com" TargetMode="External"/><Relationship Id="rId5" Type="http://schemas.openxmlformats.org/officeDocument/2006/relationships/styles" Target="styles.xml"/><Relationship Id="rId6" Type="http://schemas.openxmlformats.org/officeDocument/2006/relationships/hyperlink" Target="https://www.icj-cij.org/case/70" TargetMode="External"/><Relationship Id="rId7" Type="http://schemas.openxmlformats.org/officeDocument/2006/relationships/hyperlink" Target="https://casebook.icrc.org/case-study/icj-nicaragua-v-united-states" TargetMode="External"/><Relationship Id="rId8" Type="http://schemas.openxmlformats.org/officeDocument/2006/relationships/hyperlink" Target="https://www.casebriefs.com/blog/law/international-law/international-law-keyed-to-damrosche/chapter-2/military-and-paramilitary-activities-in-and-against-nicaragua-nicaragua-v-united-states/?utm_source=chatgp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