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84AB7" w:rsidRDefault="00284AB7">
      <w:pPr>
        <w:rPr>
          <w:rFonts w:ascii="Roboto Serif" w:eastAsia="Roboto Serif" w:hAnsi="Roboto Serif" w:cs="Roboto Serif"/>
          <w:sz w:val="32"/>
          <w:szCs w:val="32"/>
        </w:rPr>
      </w:pPr>
    </w:p>
    <w:p w14:paraId="00000002" w14:textId="77777777" w:rsidR="00284AB7" w:rsidRDefault="00284AB7">
      <w:pPr>
        <w:rPr>
          <w:rFonts w:ascii="Roboto Serif" w:eastAsia="Roboto Serif" w:hAnsi="Roboto Serif" w:cs="Roboto Serif"/>
          <w:b/>
          <w:bCs/>
          <w:sz w:val="32"/>
          <w:szCs w:val="32"/>
        </w:rPr>
      </w:pPr>
    </w:p>
    <w:p w14:paraId="00000003" w14:textId="77777777" w:rsidR="00284AB7" w:rsidRDefault="00000000">
      <w:pPr>
        <w:rPr>
          <w:rFonts w:ascii="Roboto Serif" w:eastAsia="Roboto Serif" w:hAnsi="Roboto Serif" w:cs="Roboto Serif"/>
          <w:b/>
          <w:bCs/>
          <w:sz w:val="32"/>
          <w:szCs w:val="32"/>
        </w:rPr>
      </w:pPr>
      <w:r>
        <w:rPr>
          <w:rFonts w:ascii="Roboto Serif" w:eastAsia="Roboto Serif" w:hAnsi="Roboto Serif" w:cs="Roboto Serif"/>
          <w:b/>
          <w:bCs/>
          <w:sz w:val="32"/>
          <w:szCs w:val="32"/>
        </w:rPr>
        <w:t>Who is Saif Gaddafi?</w:t>
      </w:r>
    </w:p>
    <w:p w14:paraId="00000004" w14:textId="77777777" w:rsidR="00284AB7" w:rsidRDefault="00284AB7">
      <w:pPr>
        <w:rPr>
          <w:rFonts w:ascii="Roboto Serif" w:eastAsia="Roboto Serif" w:hAnsi="Roboto Serif" w:cs="Roboto Serif"/>
          <w:sz w:val="28"/>
          <w:szCs w:val="28"/>
        </w:rPr>
      </w:pPr>
    </w:p>
    <w:p w14:paraId="00000005" w14:textId="77777777" w:rsidR="00284AB7" w:rsidRDefault="00000000">
      <w:pPr>
        <w:rPr>
          <w:rFonts w:ascii="Roboto Serif" w:eastAsia="Roboto Serif" w:hAnsi="Roboto Serif" w:cs="Roboto Serif"/>
          <w:sz w:val="28"/>
          <w:szCs w:val="28"/>
          <w:highlight w:val="white"/>
        </w:rPr>
      </w:pPr>
      <w:r>
        <w:rPr>
          <w:rFonts w:ascii="Roboto Serif" w:eastAsia="Roboto Serif" w:hAnsi="Roboto Serif" w:cs="Roboto Serif"/>
          <w:sz w:val="28"/>
          <w:szCs w:val="28"/>
        </w:rPr>
        <w:t>Saif al-Islam Gaddafi (born 1972) is the second son of late Libyan dictator Muammar Gaddafi and was once considered his heir apparent. A key figure in his father's regime, he acted as a diplomat and de facto prime minister.</w:t>
      </w:r>
      <w:r>
        <w:rPr>
          <w:rFonts w:ascii="Roboto Serif" w:eastAsia="Roboto Serif" w:hAnsi="Roboto Serif" w:cs="Roboto Serif"/>
          <w:sz w:val="28"/>
          <w:szCs w:val="28"/>
          <w:highlight w:val="white"/>
        </w:rPr>
        <w:t xml:space="preserve"> Educated in the UK and known for his public calls for reform, Saif later became directly involved in efforts to suppress the 2011 uprising that overthrew his father’s government.</w:t>
      </w:r>
    </w:p>
    <w:p w14:paraId="00000006" w14:textId="77777777" w:rsidR="00284AB7" w:rsidRDefault="00284AB7">
      <w:pPr>
        <w:pStyle w:val="Heading2"/>
        <w:keepNext w:val="0"/>
        <w:keepLines w:val="0"/>
        <w:spacing w:after="80"/>
        <w:rPr>
          <w:rFonts w:ascii="Roboto Serif" w:eastAsia="Roboto Serif" w:hAnsi="Roboto Serif" w:cs="Roboto Serif"/>
          <w:b/>
          <w:bCs/>
          <w:sz w:val="34"/>
          <w:szCs w:val="34"/>
          <w:highlight w:val="white"/>
        </w:rPr>
      </w:pPr>
      <w:bookmarkStart w:id="0" w:name="_2i9rc35tjsfn" w:colFirst="0" w:colLast="0"/>
      <w:bookmarkEnd w:id="0"/>
    </w:p>
    <w:p w14:paraId="00000007" w14:textId="77777777" w:rsidR="00284AB7" w:rsidRDefault="00000000">
      <w:pPr>
        <w:pStyle w:val="Heading2"/>
        <w:keepNext w:val="0"/>
        <w:keepLines w:val="0"/>
        <w:spacing w:after="80"/>
        <w:rPr>
          <w:rFonts w:ascii="Roboto Serif" w:eastAsia="Roboto Serif" w:hAnsi="Roboto Serif" w:cs="Roboto Serif"/>
          <w:b/>
          <w:bCs/>
          <w:sz w:val="34"/>
          <w:szCs w:val="34"/>
          <w:highlight w:val="white"/>
        </w:rPr>
      </w:pPr>
      <w:bookmarkStart w:id="1" w:name="_4zr9ssxz0nn0" w:colFirst="0" w:colLast="0"/>
      <w:bookmarkEnd w:id="1"/>
      <w:r>
        <w:rPr>
          <w:rFonts w:ascii="Roboto Serif" w:eastAsia="Roboto Serif" w:hAnsi="Roboto Serif" w:cs="Roboto Serif"/>
          <w:b/>
          <w:bCs/>
          <w:sz w:val="34"/>
          <w:szCs w:val="34"/>
          <w:highlight w:val="white"/>
        </w:rPr>
        <w:t>Political Role Before 2011</w:t>
      </w:r>
    </w:p>
    <w:p w14:paraId="00000008" w14:textId="77777777" w:rsidR="00284AB7" w:rsidRDefault="00000000">
      <w:pPr>
        <w:spacing w:before="240" w:after="240"/>
        <w:rPr>
          <w:rFonts w:ascii="Roboto Serif" w:eastAsia="Roboto Serif" w:hAnsi="Roboto Serif" w:cs="Roboto Serif"/>
          <w:sz w:val="28"/>
          <w:szCs w:val="28"/>
          <w:highlight w:val="white"/>
        </w:rPr>
      </w:pPr>
      <w:r>
        <w:rPr>
          <w:rFonts w:ascii="Roboto Serif" w:eastAsia="Roboto Serif" w:hAnsi="Roboto Serif" w:cs="Roboto Serif"/>
          <w:sz w:val="28"/>
          <w:szCs w:val="28"/>
          <w:highlight w:val="white"/>
        </w:rPr>
        <w:t>Before the outbreak of the Libyan Civil War, Saif al-Islam cultivated an image as a reformist figure within the regime. He publicly advocated modernization, constitutional reform, and improved relations with Western states. Despite this reform-oriented rhetoric, he remained closely embedded in the authoritarian structure of the Gaddafi regime and benefited directly from its power network.</w:t>
      </w:r>
    </w:p>
    <w:p w14:paraId="00000009" w14:textId="77777777" w:rsidR="00284AB7" w:rsidRDefault="00284AB7">
      <w:pPr>
        <w:pStyle w:val="Heading2"/>
        <w:keepNext w:val="0"/>
        <w:keepLines w:val="0"/>
        <w:spacing w:after="80"/>
        <w:rPr>
          <w:rFonts w:ascii="Roboto Serif" w:eastAsia="Roboto Serif" w:hAnsi="Roboto Serif" w:cs="Roboto Serif"/>
          <w:b/>
          <w:bCs/>
          <w:sz w:val="34"/>
          <w:szCs w:val="34"/>
          <w:highlight w:val="white"/>
        </w:rPr>
      </w:pPr>
      <w:bookmarkStart w:id="2" w:name="_ttvzhaaxezjo" w:colFirst="0" w:colLast="0"/>
      <w:bookmarkEnd w:id="2"/>
    </w:p>
    <w:p w14:paraId="0000000A" w14:textId="77777777" w:rsidR="00284AB7" w:rsidRDefault="00000000">
      <w:pPr>
        <w:pStyle w:val="Heading2"/>
        <w:keepNext w:val="0"/>
        <w:keepLines w:val="0"/>
        <w:spacing w:after="80"/>
        <w:rPr>
          <w:rFonts w:ascii="Roboto Serif" w:eastAsia="Roboto Serif" w:hAnsi="Roboto Serif" w:cs="Roboto Serif"/>
          <w:b/>
          <w:bCs/>
          <w:sz w:val="34"/>
          <w:szCs w:val="34"/>
          <w:highlight w:val="white"/>
        </w:rPr>
      </w:pPr>
      <w:bookmarkStart w:id="3" w:name="_12fwlihgfky5" w:colFirst="0" w:colLast="0"/>
      <w:bookmarkEnd w:id="3"/>
      <w:r>
        <w:rPr>
          <w:rFonts w:ascii="Roboto Serif" w:eastAsia="Roboto Serif" w:hAnsi="Roboto Serif" w:cs="Roboto Serif"/>
          <w:b/>
          <w:bCs/>
          <w:sz w:val="34"/>
          <w:szCs w:val="34"/>
          <w:highlight w:val="white"/>
        </w:rPr>
        <w:t>Role During the 2011 Libyan Uprising</w:t>
      </w:r>
    </w:p>
    <w:p w14:paraId="0000000B" w14:textId="77777777" w:rsidR="00284AB7" w:rsidRDefault="00000000">
      <w:pPr>
        <w:spacing w:before="240" w:after="240"/>
        <w:rPr>
          <w:rFonts w:ascii="Roboto Serif" w:eastAsia="Roboto Serif" w:hAnsi="Roboto Serif" w:cs="Roboto Serif"/>
          <w:sz w:val="28"/>
          <w:szCs w:val="28"/>
          <w:highlight w:val="white"/>
        </w:rPr>
      </w:pPr>
      <w:r>
        <w:rPr>
          <w:rFonts w:ascii="Roboto Serif" w:eastAsia="Roboto Serif" w:hAnsi="Roboto Serif" w:cs="Roboto Serif"/>
          <w:sz w:val="28"/>
          <w:szCs w:val="28"/>
          <w:highlight w:val="white"/>
        </w:rPr>
        <w:t xml:space="preserve">During the 2011 Arab Spring, mass protests erupted across Libya demanding the end of Muammar Gaddafi’s rule. The state responded with violent repression of civilian demonstrators. In this context, Saif al-Islam played a visible political role by delivering televised speeches defending the regime, warning </w:t>
      </w:r>
      <w:r>
        <w:rPr>
          <w:rFonts w:ascii="Roboto Serif" w:eastAsia="Roboto Serif" w:hAnsi="Roboto Serif" w:cs="Roboto Serif"/>
          <w:sz w:val="28"/>
          <w:szCs w:val="28"/>
          <w:highlight w:val="white"/>
        </w:rPr>
        <w:lastRenderedPageBreak/>
        <w:t xml:space="preserve">protesters of severe </w:t>
      </w:r>
      <w:proofErr w:type="gramStart"/>
      <w:r>
        <w:rPr>
          <w:rFonts w:ascii="Roboto Serif" w:eastAsia="Roboto Serif" w:hAnsi="Roboto Serif" w:cs="Roboto Serif"/>
          <w:sz w:val="28"/>
          <w:szCs w:val="28"/>
          <w:highlight w:val="white"/>
        </w:rPr>
        <w:t>consequences, and</w:t>
      </w:r>
      <w:proofErr w:type="gramEnd"/>
      <w:r>
        <w:rPr>
          <w:rFonts w:ascii="Roboto Serif" w:eastAsia="Roboto Serif" w:hAnsi="Roboto Serif" w:cs="Roboto Serif"/>
          <w:sz w:val="28"/>
          <w:szCs w:val="28"/>
          <w:highlight w:val="white"/>
        </w:rPr>
        <w:t xml:space="preserve"> justifying the use of force. These actions placed him at the center of the regime’s response to the uprising.</w:t>
      </w:r>
    </w:p>
    <w:p w14:paraId="0000000C" w14:textId="77777777" w:rsidR="00284AB7" w:rsidRDefault="00284AB7">
      <w:pPr>
        <w:rPr>
          <w:rFonts w:ascii="Roboto Serif" w:eastAsia="Roboto Serif" w:hAnsi="Roboto Serif" w:cs="Roboto Serif"/>
          <w:sz w:val="28"/>
          <w:szCs w:val="28"/>
          <w:highlight w:val="white"/>
        </w:rPr>
      </w:pPr>
    </w:p>
    <w:p w14:paraId="0000000D" w14:textId="77777777" w:rsidR="00284AB7" w:rsidRDefault="00000000">
      <w:pPr>
        <w:pStyle w:val="Heading2"/>
        <w:keepNext w:val="0"/>
        <w:keepLines w:val="0"/>
        <w:spacing w:after="80"/>
        <w:rPr>
          <w:rFonts w:ascii="Roboto Serif" w:eastAsia="Roboto Serif" w:hAnsi="Roboto Serif" w:cs="Roboto Serif"/>
          <w:b/>
          <w:bCs/>
          <w:sz w:val="34"/>
          <w:szCs w:val="34"/>
          <w:highlight w:val="white"/>
        </w:rPr>
      </w:pPr>
      <w:bookmarkStart w:id="4" w:name="_jcuu67nz2obf" w:colFirst="0" w:colLast="0"/>
      <w:bookmarkEnd w:id="4"/>
      <w:r>
        <w:rPr>
          <w:rFonts w:ascii="Roboto Serif" w:eastAsia="Roboto Serif" w:hAnsi="Roboto Serif" w:cs="Roboto Serif"/>
          <w:b/>
          <w:bCs/>
          <w:sz w:val="34"/>
          <w:szCs w:val="34"/>
          <w:highlight w:val="white"/>
        </w:rPr>
        <w:t xml:space="preserve">Charges </w:t>
      </w:r>
    </w:p>
    <w:p w14:paraId="0000000E" w14:textId="77777777" w:rsidR="00284AB7" w:rsidRDefault="00000000">
      <w:pPr>
        <w:pStyle w:val="Heading2"/>
        <w:keepNext w:val="0"/>
        <w:keepLines w:val="0"/>
        <w:spacing w:after="80"/>
        <w:rPr>
          <w:rFonts w:ascii="Roboto Serif" w:eastAsia="Roboto Serif" w:hAnsi="Roboto Serif" w:cs="Roboto Serif"/>
          <w:sz w:val="28"/>
          <w:szCs w:val="28"/>
          <w:highlight w:val="white"/>
        </w:rPr>
      </w:pPr>
      <w:bookmarkStart w:id="5" w:name="_srza9mu6jtwb" w:colFirst="0" w:colLast="0"/>
      <w:bookmarkEnd w:id="5"/>
      <w:r>
        <w:rPr>
          <w:rFonts w:ascii="Roboto Serif" w:eastAsia="Roboto Serif" w:hAnsi="Roboto Serif" w:cs="Roboto Serif"/>
          <w:sz w:val="28"/>
          <w:szCs w:val="28"/>
          <w:highlight w:val="white"/>
        </w:rPr>
        <w:t>Saif al-Islam Gaddafi is charged with crimes against humanity under Article 7 of the Rome Statute, including murder, persecution, and imprisonment or other severe deprivation of physical liberty. The Prosecution alleges that these crimes were committed as part of a widespread and systematic attack against the civilian population.</w:t>
      </w:r>
    </w:p>
    <w:p w14:paraId="0000000F" w14:textId="77777777" w:rsidR="00284AB7" w:rsidRDefault="00284AB7"/>
    <w:p w14:paraId="00000010" w14:textId="77777777" w:rsidR="00284AB7" w:rsidRDefault="00000000">
      <w:pPr>
        <w:pStyle w:val="Heading2"/>
        <w:keepNext w:val="0"/>
        <w:keepLines w:val="0"/>
        <w:spacing w:after="80"/>
        <w:rPr>
          <w:rFonts w:ascii="Roboto Serif" w:eastAsia="Roboto Serif" w:hAnsi="Roboto Serif" w:cs="Roboto Serif"/>
          <w:b/>
          <w:bCs/>
          <w:sz w:val="34"/>
          <w:szCs w:val="34"/>
        </w:rPr>
      </w:pPr>
      <w:bookmarkStart w:id="6" w:name="_x7cqsfb2cqxd" w:colFirst="0" w:colLast="0"/>
      <w:bookmarkEnd w:id="6"/>
      <w:r>
        <w:rPr>
          <w:rFonts w:ascii="Roboto Serif" w:eastAsia="Roboto Serif" w:hAnsi="Roboto Serif" w:cs="Roboto Serif"/>
          <w:b/>
          <w:bCs/>
          <w:sz w:val="34"/>
          <w:szCs w:val="34"/>
        </w:rPr>
        <w:t>Command or Superior Responsibility</w:t>
      </w:r>
    </w:p>
    <w:p w14:paraId="00000011" w14:textId="77777777" w:rsidR="00284AB7" w:rsidRDefault="00000000">
      <w:pPr>
        <w:spacing w:before="240" w:after="240"/>
        <w:rPr>
          <w:rFonts w:ascii="Roboto Serif" w:eastAsia="Roboto Serif" w:hAnsi="Roboto Serif" w:cs="Roboto Serif"/>
          <w:sz w:val="28"/>
          <w:szCs w:val="28"/>
        </w:rPr>
      </w:pPr>
      <w:r>
        <w:rPr>
          <w:rFonts w:ascii="Roboto Serif" w:eastAsia="Roboto Serif" w:hAnsi="Roboto Serif" w:cs="Roboto Serif"/>
          <w:sz w:val="28"/>
          <w:szCs w:val="28"/>
        </w:rPr>
        <w:t>Another key issue is whether Saif al-Islam bears responsibility under Article 28 of the Rome Statute. This depends on whether he exercised effective control over forces that committed crimes and whether he knew or should have known that such crimes were being committed and failed to prevent or punish them.</w:t>
      </w:r>
    </w:p>
    <w:p w14:paraId="00000012" w14:textId="77777777" w:rsidR="00284AB7" w:rsidRDefault="00284AB7"/>
    <w:p w14:paraId="00000013" w14:textId="77777777" w:rsidR="00284AB7" w:rsidRDefault="00000000">
      <w:pPr>
        <w:pStyle w:val="Heading2"/>
        <w:keepNext w:val="0"/>
        <w:keepLines w:val="0"/>
        <w:spacing w:after="80"/>
        <w:rPr>
          <w:rFonts w:ascii="Roboto Serif" w:eastAsia="Roboto Serif" w:hAnsi="Roboto Serif" w:cs="Roboto Serif"/>
          <w:b/>
          <w:bCs/>
          <w:sz w:val="34"/>
          <w:szCs w:val="34"/>
          <w:highlight w:val="white"/>
        </w:rPr>
      </w:pPr>
      <w:bookmarkStart w:id="7" w:name="_j3x11dkv2i83" w:colFirst="0" w:colLast="0"/>
      <w:bookmarkEnd w:id="7"/>
      <w:r>
        <w:rPr>
          <w:rFonts w:ascii="Roboto Serif" w:eastAsia="Roboto Serif" w:hAnsi="Roboto Serif" w:cs="Roboto Serif"/>
          <w:b/>
          <w:bCs/>
          <w:sz w:val="34"/>
          <w:szCs w:val="34"/>
          <w:highlight w:val="white"/>
        </w:rPr>
        <w:t>Complementarity and Admissibility Dispute</w:t>
      </w:r>
    </w:p>
    <w:p w14:paraId="00000014" w14:textId="77777777" w:rsidR="00284AB7" w:rsidRDefault="00000000">
      <w:pPr>
        <w:spacing w:before="240" w:after="240"/>
        <w:rPr>
          <w:rFonts w:ascii="Roboto Serif" w:eastAsia="Roboto Serif" w:hAnsi="Roboto Serif" w:cs="Roboto Serif"/>
          <w:sz w:val="28"/>
          <w:szCs w:val="28"/>
          <w:highlight w:val="white"/>
        </w:rPr>
      </w:pPr>
      <w:r>
        <w:rPr>
          <w:rFonts w:ascii="Roboto Serif" w:eastAsia="Roboto Serif" w:hAnsi="Roboto Serif" w:cs="Roboto Serif"/>
          <w:sz w:val="28"/>
          <w:szCs w:val="28"/>
          <w:highlight w:val="white"/>
        </w:rPr>
        <w:t xml:space="preserve">A major procedural issue in the case concerns admissibility under Article 17 of the Rome Statute. Libya has consistently argued that it has exercised its sovereign right to prosecute Saif al-Islam domestically and that the ICC must therefore declare the case inadmissible. The ICC, however, found that Libya was unable to carry out genuine proceedings due to the lack of </w:t>
      </w:r>
      <w:r>
        <w:rPr>
          <w:rFonts w:ascii="Roboto Serif" w:eastAsia="Roboto Serif" w:hAnsi="Roboto Serif" w:cs="Roboto Serif"/>
          <w:sz w:val="28"/>
          <w:szCs w:val="28"/>
          <w:highlight w:val="white"/>
        </w:rPr>
        <w:lastRenderedPageBreak/>
        <w:t>custody over the accused, the fragmented judicial system, and concerns regarding fair trial guarantees.</w:t>
      </w:r>
    </w:p>
    <w:p w14:paraId="00000015" w14:textId="77777777" w:rsidR="00284AB7" w:rsidRDefault="00284AB7">
      <w:pPr>
        <w:pStyle w:val="Heading2"/>
        <w:keepNext w:val="0"/>
        <w:keepLines w:val="0"/>
        <w:spacing w:after="80"/>
        <w:rPr>
          <w:rFonts w:ascii="Roboto Serif" w:eastAsia="Roboto Serif" w:hAnsi="Roboto Serif" w:cs="Roboto Serif"/>
          <w:b/>
          <w:bCs/>
          <w:sz w:val="34"/>
          <w:szCs w:val="34"/>
          <w:highlight w:val="white"/>
        </w:rPr>
      </w:pPr>
      <w:bookmarkStart w:id="8" w:name="_5mgz4pmt3jez" w:colFirst="0" w:colLast="0"/>
      <w:bookmarkEnd w:id="8"/>
    </w:p>
    <w:p w14:paraId="00000016" w14:textId="77777777" w:rsidR="00284AB7" w:rsidRDefault="00000000">
      <w:pPr>
        <w:pStyle w:val="Heading2"/>
        <w:keepNext w:val="0"/>
        <w:keepLines w:val="0"/>
        <w:spacing w:after="80"/>
        <w:rPr>
          <w:rFonts w:ascii="Roboto Serif" w:eastAsia="Roboto Serif" w:hAnsi="Roboto Serif" w:cs="Roboto Serif"/>
          <w:b/>
          <w:bCs/>
          <w:sz w:val="34"/>
          <w:szCs w:val="34"/>
          <w:highlight w:val="white"/>
        </w:rPr>
      </w:pPr>
      <w:bookmarkStart w:id="9" w:name="_9ifdcofx6hew" w:colFirst="0" w:colLast="0"/>
      <w:bookmarkEnd w:id="9"/>
      <w:r>
        <w:rPr>
          <w:rFonts w:ascii="Roboto Serif" w:eastAsia="Roboto Serif" w:hAnsi="Roboto Serif" w:cs="Roboto Serif"/>
          <w:b/>
          <w:bCs/>
          <w:sz w:val="34"/>
          <w:szCs w:val="34"/>
          <w:highlight w:val="white"/>
        </w:rPr>
        <w:t>Significance of the Case in International Criminal Law</w:t>
      </w:r>
    </w:p>
    <w:p w14:paraId="00000017" w14:textId="77777777" w:rsidR="00284AB7" w:rsidRDefault="00000000">
      <w:pPr>
        <w:spacing w:before="240" w:after="240"/>
        <w:rPr>
          <w:rFonts w:ascii="Roboto Serif" w:eastAsia="Roboto Serif" w:hAnsi="Roboto Serif" w:cs="Roboto Serif"/>
          <w:sz w:val="28"/>
          <w:szCs w:val="28"/>
          <w:highlight w:val="white"/>
        </w:rPr>
      </w:pPr>
      <w:r>
        <w:rPr>
          <w:rFonts w:ascii="Roboto Serif" w:eastAsia="Roboto Serif" w:hAnsi="Roboto Serif" w:cs="Roboto Serif"/>
          <w:sz w:val="28"/>
          <w:szCs w:val="28"/>
          <w:highlight w:val="white"/>
        </w:rPr>
        <w:t>The Prosecutor v. Saif al-Islam Gaddafi is significant for its interpretation of complementarity, individual criminal responsibility of non-formal leaders, and the role of political influence in establishing liability for crimes against humanity. It serves as an important precedent for cases involving powerful civilian figures who exercise de facto authority without holding official command positions.</w:t>
      </w:r>
    </w:p>
    <w:p w14:paraId="00000018" w14:textId="77777777" w:rsidR="00284AB7" w:rsidRDefault="00284AB7">
      <w:pPr>
        <w:spacing w:before="240" w:after="240"/>
        <w:rPr>
          <w:rFonts w:ascii="Roboto Serif" w:eastAsia="Roboto Serif" w:hAnsi="Roboto Serif" w:cs="Roboto Serif"/>
          <w:sz w:val="28"/>
          <w:szCs w:val="28"/>
          <w:highlight w:val="white"/>
        </w:rPr>
      </w:pPr>
    </w:p>
    <w:p w14:paraId="00000019" w14:textId="77777777" w:rsidR="00284AB7" w:rsidRDefault="00284AB7">
      <w:pPr>
        <w:spacing w:before="240" w:after="240"/>
        <w:rPr>
          <w:rFonts w:ascii="Roboto Serif" w:eastAsia="Roboto Serif" w:hAnsi="Roboto Serif" w:cs="Roboto Serif"/>
          <w:sz w:val="28"/>
          <w:szCs w:val="28"/>
          <w:highlight w:val="white"/>
        </w:rPr>
      </w:pPr>
    </w:p>
    <w:p w14:paraId="0000001A" w14:textId="77777777" w:rsidR="00284AB7" w:rsidRDefault="00000000">
      <w:pPr>
        <w:spacing w:before="240" w:after="240"/>
        <w:rPr>
          <w:rFonts w:ascii="Roboto Serif" w:eastAsia="Roboto Serif" w:hAnsi="Roboto Serif" w:cs="Roboto Serif"/>
          <w:sz w:val="28"/>
          <w:szCs w:val="28"/>
          <w:highlight w:val="white"/>
        </w:rPr>
      </w:pPr>
      <w:r>
        <w:rPr>
          <w:rFonts w:ascii="Roboto Serif" w:eastAsia="Roboto Serif" w:hAnsi="Roboto Serif" w:cs="Roboto Serif"/>
          <w:sz w:val="28"/>
          <w:szCs w:val="28"/>
          <w:highlight w:val="white"/>
        </w:rPr>
        <w:t>Helpful Resources:</w:t>
      </w:r>
    </w:p>
    <w:p w14:paraId="0000001B" w14:textId="77777777" w:rsidR="00284AB7" w:rsidRDefault="00000000">
      <w:pPr>
        <w:numPr>
          <w:ilvl w:val="0"/>
          <w:numId w:val="1"/>
        </w:numPr>
        <w:spacing w:before="240"/>
        <w:rPr>
          <w:rFonts w:ascii="Roboto Serif" w:eastAsia="Roboto Serif" w:hAnsi="Roboto Serif" w:cs="Roboto Serif"/>
          <w:sz w:val="28"/>
          <w:szCs w:val="28"/>
          <w:highlight w:val="white"/>
        </w:rPr>
      </w:pPr>
      <w:hyperlink r:id="rId7">
        <w:r>
          <w:rPr>
            <w:rFonts w:ascii="Roboto Serif" w:eastAsia="Roboto Serif" w:hAnsi="Roboto Serif" w:cs="Roboto Serif"/>
            <w:color w:val="1155CC"/>
            <w:sz w:val="28"/>
            <w:szCs w:val="28"/>
            <w:highlight w:val="white"/>
            <w:u w:val="single"/>
          </w:rPr>
          <w:t>https://www.icc-cpi.int/libya/gaddafi</w:t>
        </w:r>
      </w:hyperlink>
    </w:p>
    <w:p w14:paraId="0000001C" w14:textId="77777777" w:rsidR="00284AB7" w:rsidRDefault="00000000">
      <w:pPr>
        <w:numPr>
          <w:ilvl w:val="0"/>
          <w:numId w:val="1"/>
        </w:numPr>
        <w:rPr>
          <w:rFonts w:ascii="Roboto Serif" w:eastAsia="Roboto Serif" w:hAnsi="Roboto Serif" w:cs="Roboto Serif"/>
          <w:sz w:val="28"/>
          <w:szCs w:val="28"/>
          <w:highlight w:val="white"/>
        </w:rPr>
      </w:pPr>
      <w:hyperlink r:id="rId8">
        <w:r>
          <w:rPr>
            <w:rFonts w:ascii="Roboto Serif" w:eastAsia="Roboto Serif" w:hAnsi="Roboto Serif" w:cs="Roboto Serif"/>
            <w:color w:val="1155CC"/>
            <w:sz w:val="28"/>
            <w:szCs w:val="28"/>
            <w:highlight w:val="white"/>
            <w:u w:val="single"/>
          </w:rPr>
          <w:t>https://www.coalitionfortheicc.org/cases/saif-alislam-gaddafi</w:t>
        </w:r>
      </w:hyperlink>
    </w:p>
    <w:p w14:paraId="0000001D" w14:textId="77777777" w:rsidR="00284AB7" w:rsidRDefault="00000000">
      <w:pPr>
        <w:numPr>
          <w:ilvl w:val="0"/>
          <w:numId w:val="1"/>
        </w:numPr>
        <w:rPr>
          <w:rFonts w:ascii="Roboto Serif" w:eastAsia="Roboto Serif" w:hAnsi="Roboto Serif" w:cs="Roboto Serif"/>
          <w:sz w:val="28"/>
          <w:szCs w:val="28"/>
          <w:highlight w:val="white"/>
        </w:rPr>
      </w:pPr>
      <w:hyperlink r:id="rId9">
        <w:r>
          <w:rPr>
            <w:rFonts w:ascii="Roboto Serif" w:eastAsia="Roboto Serif" w:hAnsi="Roboto Serif" w:cs="Roboto Serif"/>
            <w:color w:val="1155CC"/>
            <w:sz w:val="28"/>
            <w:szCs w:val="28"/>
            <w:highlight w:val="white"/>
            <w:u w:val="single"/>
          </w:rPr>
          <w:t>https://www.icc-cpi.int/sites/default/files/2022-08/GaddafiEng.pdf</w:t>
        </w:r>
      </w:hyperlink>
    </w:p>
    <w:p w14:paraId="0000001E" w14:textId="77777777" w:rsidR="00284AB7" w:rsidRDefault="00000000">
      <w:pPr>
        <w:numPr>
          <w:ilvl w:val="0"/>
          <w:numId w:val="1"/>
        </w:numPr>
        <w:rPr>
          <w:rFonts w:ascii="Roboto Serif" w:eastAsia="Roboto Serif" w:hAnsi="Roboto Serif" w:cs="Roboto Serif"/>
          <w:sz w:val="28"/>
          <w:szCs w:val="28"/>
          <w:highlight w:val="white"/>
        </w:rPr>
      </w:pPr>
      <w:hyperlink r:id="rId10">
        <w:r>
          <w:rPr>
            <w:rFonts w:ascii="Roboto Serif" w:eastAsia="Roboto Serif" w:hAnsi="Roboto Serif" w:cs="Roboto Serif"/>
            <w:color w:val="1155CC"/>
            <w:sz w:val="28"/>
            <w:szCs w:val="28"/>
            <w:highlight w:val="white"/>
            <w:u w:val="single"/>
          </w:rPr>
          <w:t>https://www.opensanctions.org/entities/Q208135/</w:t>
        </w:r>
      </w:hyperlink>
    </w:p>
    <w:p w14:paraId="0000001F" w14:textId="77777777" w:rsidR="00284AB7" w:rsidRDefault="00000000">
      <w:pPr>
        <w:numPr>
          <w:ilvl w:val="0"/>
          <w:numId w:val="1"/>
        </w:numPr>
        <w:rPr>
          <w:rFonts w:ascii="Roboto Serif" w:eastAsia="Roboto Serif" w:hAnsi="Roboto Serif" w:cs="Roboto Serif"/>
          <w:sz w:val="28"/>
          <w:szCs w:val="28"/>
          <w:highlight w:val="white"/>
        </w:rPr>
      </w:pPr>
      <w:hyperlink r:id="rId11">
        <w:r>
          <w:rPr>
            <w:rFonts w:ascii="Roboto Serif" w:eastAsia="Roboto Serif" w:hAnsi="Roboto Serif" w:cs="Roboto Serif"/>
            <w:color w:val="1155CC"/>
            <w:sz w:val="28"/>
            <w:szCs w:val="28"/>
            <w:highlight w:val="white"/>
            <w:u w:val="single"/>
          </w:rPr>
          <w:t>https://www.weforum.org/stories/2011/02/saif-al-gaddafi-suspended-from-the-young-global-leaders-community/</w:t>
        </w:r>
      </w:hyperlink>
    </w:p>
    <w:p w14:paraId="00000020" w14:textId="77777777" w:rsidR="00284AB7" w:rsidRDefault="00000000">
      <w:pPr>
        <w:numPr>
          <w:ilvl w:val="0"/>
          <w:numId w:val="1"/>
        </w:numPr>
        <w:rPr>
          <w:rFonts w:ascii="Roboto Serif" w:eastAsia="Roboto Serif" w:hAnsi="Roboto Serif" w:cs="Roboto Serif"/>
          <w:sz w:val="28"/>
          <w:szCs w:val="28"/>
          <w:highlight w:val="white"/>
        </w:rPr>
      </w:pPr>
      <w:hyperlink r:id="rId12">
        <w:r>
          <w:rPr>
            <w:rFonts w:ascii="Roboto Serif" w:eastAsia="Roboto Serif" w:hAnsi="Roboto Serif" w:cs="Roboto Serif"/>
            <w:color w:val="1155CC"/>
            <w:sz w:val="28"/>
            <w:szCs w:val="28"/>
            <w:highlight w:val="white"/>
            <w:u w:val="single"/>
          </w:rPr>
          <w:t>https://securitypolicylaw.syr.edu/wp-content/uploads/2013/02/Mapping-the-Libyan-Conflict.pdf</w:t>
        </w:r>
      </w:hyperlink>
    </w:p>
    <w:p w14:paraId="00000021" w14:textId="77777777" w:rsidR="00284AB7" w:rsidRDefault="00000000">
      <w:pPr>
        <w:numPr>
          <w:ilvl w:val="0"/>
          <w:numId w:val="1"/>
        </w:numPr>
        <w:spacing w:after="240"/>
        <w:rPr>
          <w:rFonts w:ascii="Roboto Serif" w:eastAsia="Roboto Serif" w:hAnsi="Roboto Serif" w:cs="Roboto Serif"/>
          <w:sz w:val="28"/>
          <w:szCs w:val="28"/>
          <w:highlight w:val="white"/>
        </w:rPr>
      </w:pPr>
      <w:hyperlink r:id="rId13">
        <w:r>
          <w:rPr>
            <w:rFonts w:ascii="Roboto Serif" w:eastAsia="Roboto Serif" w:hAnsi="Roboto Serif" w:cs="Roboto Serif"/>
            <w:color w:val="1155CC"/>
            <w:sz w:val="28"/>
            <w:szCs w:val="28"/>
            <w:highlight w:val="white"/>
            <w:u w:val="single"/>
          </w:rPr>
          <w:t>https://www.pism.pl/webroot/upload/files/Ksi%C4%85%C5%BCki/Disinformation-and-the-Resilience-of-Democratic-Societies%20(1).pdf</w:t>
        </w:r>
      </w:hyperlink>
    </w:p>
    <w:sectPr w:rsidR="00284AB7">
      <w:headerReference w:type="even" r:id="rId14"/>
      <w:footerReference w:type="even" r:id="rId15"/>
      <w:headerReference w:type="first" r:id="rId16"/>
      <w:footerReference w:type="firs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25761" w14:textId="77777777" w:rsidR="009919B7" w:rsidRDefault="009919B7">
      <w:pPr>
        <w:spacing w:line="240" w:lineRule="auto"/>
      </w:pPr>
      <w:r>
        <w:separator/>
      </w:r>
    </w:p>
  </w:endnote>
  <w:endnote w:type="continuationSeparator" w:id="0">
    <w:p w14:paraId="6DF8AC17" w14:textId="77777777" w:rsidR="009919B7" w:rsidRDefault="009919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EE6E730-125C-7640-A822-362705D272E1}"/>
  </w:font>
  <w:font w:name="Arial">
    <w:panose1 w:val="020B0604020202020204"/>
    <w:charset w:val="00"/>
    <w:family w:val="swiss"/>
    <w:pitch w:val="variable"/>
    <w:sig w:usb0="E0002AFF" w:usb1="C0007843" w:usb2="00000009" w:usb3="00000000" w:csb0="000001FF" w:csb1="00000000"/>
    <w:embedRegular r:id="rId2" w:fontKey="{775C29E4-4E7E-2C46-9879-BD9C7B56D12E}"/>
    <w:embedItalic r:id="rId3" w:fontKey="{D1A18BCD-4E20-6F4B-8D31-249BAED1F2B6}"/>
  </w:font>
  <w:font w:name="Roboto Serif">
    <w:charset w:val="00"/>
    <w:family w:val="auto"/>
    <w:pitch w:val="default"/>
    <w:embedRegular r:id="rId4" w:fontKey="{F25BF625-95DB-9A42-8B0D-8A0F5A248D03}"/>
    <w:embedBold r:id="rId5" w:fontKey="{BD005AD2-D9CB-D345-B665-A0D49623FB5E}"/>
  </w:font>
  <w:font w:name="Roboto Serif Light">
    <w:charset w:val="00"/>
    <w:family w:val="auto"/>
    <w:pitch w:val="default"/>
    <w:embedRegular r:id="rId6" w:fontKey="{CA5B5244-E0EE-9442-A5E5-32260E3B0F52}"/>
  </w:font>
  <w:font w:name="Calibri">
    <w:panose1 w:val="020F0502020204030204"/>
    <w:charset w:val="00"/>
    <w:family w:val="modern"/>
    <w:pitch w:val="variable"/>
    <w:sig w:usb0="00000003" w:usb1="00000000" w:usb2="00000000" w:usb3="00000000" w:csb0="00000001" w:csb1="00000000"/>
    <w:embedRegular r:id="rId7" w:fontKey="{230350BE-0677-104B-88FF-CE87E6E0C3A5}"/>
  </w:font>
  <w:font w:name="Cambria">
    <w:panose1 w:val="02040503050406030204"/>
    <w:charset w:val="00"/>
    <w:family w:val="roman"/>
    <w:notTrueType/>
    <w:pitch w:val="default"/>
    <w:embedRegular r:id="rId8" w:fontKey="{F4F1319B-3148-654F-BD46-E59CA31D0A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284AB7" w:rsidRDefault="00284A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77777777" w:rsidR="00284AB7" w:rsidRDefault="00284A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64077" w14:textId="77777777" w:rsidR="009919B7" w:rsidRDefault="009919B7">
      <w:pPr>
        <w:spacing w:line="240" w:lineRule="auto"/>
      </w:pPr>
      <w:r>
        <w:separator/>
      </w:r>
    </w:p>
  </w:footnote>
  <w:footnote w:type="continuationSeparator" w:id="0">
    <w:p w14:paraId="5AB02CBC" w14:textId="77777777" w:rsidR="009919B7" w:rsidRDefault="009919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5" w14:textId="77777777" w:rsidR="00284AB7" w:rsidRDefault="00284A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2" w14:textId="77777777" w:rsidR="00284AB7" w:rsidRDefault="00000000">
    <w:pPr>
      <w:pStyle w:val="Title"/>
      <w:rPr>
        <w:rFonts w:ascii="Roboto Serif Light" w:eastAsia="Roboto Serif Light" w:hAnsi="Roboto Serif Light" w:cs="Roboto Serif Light"/>
      </w:rPr>
    </w:pPr>
    <w:bookmarkStart w:id="10" w:name="_3hovdhrsr71g" w:colFirst="0" w:colLast="0"/>
    <w:bookmarkEnd w:id="10"/>
    <w:r>
      <w:rPr>
        <w:rFonts w:ascii="Roboto Serif Light" w:eastAsia="Roboto Serif Light" w:hAnsi="Roboto Serif Light" w:cs="Roboto Serif Light"/>
      </w:rPr>
      <w:t xml:space="preserve">      </w:t>
    </w:r>
    <w:proofErr w:type="gramStart"/>
    <w:r>
      <w:rPr>
        <w:rFonts w:ascii="Roboto Serif Light" w:eastAsia="Roboto Serif Light" w:hAnsi="Roboto Serif Light" w:cs="Roboto Serif Light"/>
      </w:rPr>
      <w:t>( Prosecution</w:t>
    </w:r>
    <w:proofErr w:type="gramEnd"/>
    <w:r>
      <w:rPr>
        <w:rFonts w:ascii="Roboto Serif Light" w:eastAsia="Roboto Serif Light" w:hAnsi="Roboto Serif Light" w:cs="Roboto Serif Light"/>
      </w:rPr>
      <w:t xml:space="preserve"> vs. Saif </w:t>
    </w:r>
    <w:proofErr w:type="gramStart"/>
    <w:r>
      <w:rPr>
        <w:rFonts w:ascii="Roboto Serif Light" w:eastAsia="Roboto Serif Light" w:hAnsi="Roboto Serif Light" w:cs="Roboto Serif Light"/>
      </w:rPr>
      <w:t>Gaddafi )</w:t>
    </w:r>
    <w:proofErr w:type="gramEnd"/>
  </w:p>
  <w:p w14:paraId="00000023" w14:textId="77777777" w:rsidR="00284AB7" w:rsidRDefault="00284A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E2A8C"/>
    <w:multiLevelType w:val="multilevel"/>
    <w:tmpl w:val="BB1EF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8138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AB7"/>
    <w:rsid w:val="00284AB7"/>
    <w:rsid w:val="00613655"/>
    <w:rsid w:val="00720D66"/>
    <w:rsid w:val="009919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docId w15:val="{AD27C5F8-E7D8-3C49-AD26-F78A9178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alitionfortheicc.org/cases/saif-alislam-gaddafi" TargetMode="External"/><Relationship Id="rId13" Type="http://schemas.openxmlformats.org/officeDocument/2006/relationships/hyperlink" Target="https://www.pism.pl/webroot/upload/files/Ksi%C4%85%C5%BCki/Disinformation-and-the-Resilience-of-Democratic-Societies%20(1).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cc-cpi.int/libya/gaddafi" TargetMode="External"/><Relationship Id="rId12" Type="http://schemas.openxmlformats.org/officeDocument/2006/relationships/hyperlink" Target="https://securitypolicylaw.syr.edu/wp-content/uploads/2013/02/Mapping-the-Libyan-Conflict.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forum.org/stories/2011/02/saif-al-gaddafi-suspended-from-the-young-global-leaders-communit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pensanctions.org/entities/Q20813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cc-cpi.int/sites/default/files/2022-08/GaddafiEng.pdf"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Leith El-Jawhari</cp:lastModifiedBy>
  <cp:revision>2</cp:revision>
  <dcterms:created xsi:type="dcterms:W3CDTF">2026-02-04T12:21:00Z</dcterms:created>
  <dcterms:modified xsi:type="dcterms:W3CDTF">2026-02-04T12:21:00Z</dcterms:modified>
</cp:coreProperties>
</file>